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keepNext w:val="0"/>
        <w:keepLines w:val="0"/>
        <w:pageBreakBefore w:val="0"/>
        <w:widowControl w:val="0"/>
        <w:kinsoku/>
        <w:wordWrap/>
        <w:overflowPunct/>
        <w:topLinePunct w:val="0"/>
        <w:autoSpaceDE/>
        <w:autoSpaceDN/>
        <w:bidi w:val="0"/>
        <w:adjustRightInd/>
        <w:snapToGrid/>
        <w:spacing w:line="920" w:lineRule="exact"/>
        <w:ind w:left="0" w:leftChars="0" w:right="0"/>
        <w:jc w:val="center"/>
        <w:textAlignment w:val="auto"/>
        <w:rPr>
          <w:rFonts w:hint="eastAsia"/>
          <w:color w:val="auto"/>
          <w:sz w:val="24"/>
          <w:highlight w:val="none"/>
        </w:rPr>
      </w:pPr>
      <w:r>
        <w:rPr>
          <w:rFonts w:hint="eastAsia" w:ascii="宋体" w:hAnsi="宋体" w:cs="宋体"/>
          <w:b/>
          <w:bCs/>
          <w:color w:val="auto"/>
          <w:w w:val="85"/>
          <w:sz w:val="48"/>
          <w:szCs w:val="48"/>
          <w:highlight w:val="none"/>
          <w:lang w:eastAsia="zh-CN"/>
        </w:rPr>
        <w:t>琅琊山清风明月楼、深秀湖水榭EPCO项目审计</w:t>
      </w:r>
    </w:p>
    <w:p w14:paraId="7989B961">
      <w:pPr>
        <w:rPr>
          <w:rFonts w:hint="eastAsia" w:ascii="宋体"/>
          <w:bCs/>
          <w:color w:val="auto"/>
          <w:szCs w:val="21"/>
          <w:highlight w:val="none"/>
          <w:lang w:eastAsia="zh-CN"/>
        </w:rPr>
      </w:pPr>
    </w:p>
    <w:p w14:paraId="670E3191">
      <w:pPr>
        <w:rPr>
          <w:rFonts w:hint="eastAsia" w:ascii="宋体"/>
          <w:bCs/>
          <w:color w:val="auto"/>
          <w:szCs w:val="21"/>
          <w:highlight w:val="none"/>
          <w:lang w:eastAsia="zh-CN"/>
        </w:rPr>
      </w:pPr>
    </w:p>
    <w:p w14:paraId="3CB434C2">
      <w:pPr>
        <w:rPr>
          <w:rFonts w:hint="eastAsia" w:ascii="宋体"/>
          <w:bCs/>
          <w:color w:val="auto"/>
          <w:szCs w:val="21"/>
          <w:highlight w:val="none"/>
          <w:lang w:eastAsia="zh-CN"/>
        </w:rPr>
      </w:pPr>
    </w:p>
    <w:p w14:paraId="7AD5EE92">
      <w:pPr>
        <w:rPr>
          <w:rFonts w:hint="eastAsia" w:ascii="宋体" w:eastAsia="宋体"/>
          <w:bCs/>
          <w:color w:val="auto"/>
          <w:szCs w:val="21"/>
          <w:highlight w:val="none"/>
          <w:lang w:eastAsia="zh-CN"/>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4"/>
        <w:rPr>
          <w:rFonts w:hint="eastAsia"/>
          <w:color w:val="auto"/>
          <w:highlight w:val="none"/>
        </w:rPr>
      </w:pPr>
    </w:p>
    <w:p w14:paraId="0B7E0817">
      <w:pPr>
        <w:rPr>
          <w:rFonts w:hint="eastAsia"/>
          <w:color w:val="auto"/>
          <w:highlight w:val="none"/>
        </w:rPr>
      </w:pPr>
    </w:p>
    <w:p w14:paraId="31447BF3">
      <w:pPr>
        <w:jc w:val="center"/>
        <w:rPr>
          <w:rFonts w:hint="eastAsia" w:ascii="宋体"/>
          <w:color w:val="auto"/>
          <w:sz w:val="28"/>
          <w:szCs w:val="28"/>
          <w:highlight w:val="none"/>
        </w:rPr>
      </w:pPr>
      <w:r>
        <w:rPr>
          <w:rFonts w:hint="eastAsia" w:ascii="宋体"/>
          <w:color w:val="auto"/>
          <w:sz w:val="28"/>
          <w:szCs w:val="28"/>
          <w:highlight w:val="none"/>
        </w:rPr>
        <w:t>项目编号：HXJY1110001062948001</w:t>
      </w:r>
    </w:p>
    <w:p w14:paraId="4A9B6B37">
      <w:pPr>
        <w:pStyle w:val="20"/>
        <w:rPr>
          <w:rFonts w:hint="eastAsia"/>
          <w:color w:val="auto"/>
          <w:highlight w:val="none"/>
        </w:rPr>
      </w:pPr>
    </w:p>
    <w:p w14:paraId="71737E66">
      <w:pPr>
        <w:rPr>
          <w:rFonts w:hint="eastAsia" w:ascii="宋体"/>
          <w:b/>
          <w:color w:val="auto"/>
          <w:sz w:val="32"/>
          <w:szCs w:val="32"/>
          <w:highlight w:val="none"/>
        </w:rPr>
      </w:pPr>
    </w:p>
    <w:p w14:paraId="355D03DC">
      <w:pPr>
        <w:pStyle w:val="34"/>
        <w:rPr>
          <w:rFonts w:hint="eastAsia"/>
          <w:color w:val="auto"/>
          <w:highlight w:val="none"/>
        </w:rPr>
      </w:pPr>
    </w:p>
    <w:p w14:paraId="2D977D99">
      <w:pPr>
        <w:pStyle w:val="26"/>
        <w:rPr>
          <w:rFonts w:hint="eastAsia"/>
          <w:color w:val="auto"/>
          <w:highlight w:val="none"/>
        </w:rPr>
      </w:pPr>
    </w:p>
    <w:p w14:paraId="7D5BD9FA">
      <w:pPr>
        <w:pStyle w:val="26"/>
        <w:rPr>
          <w:rFonts w:hint="eastAsia"/>
          <w:color w:val="auto"/>
          <w:highlight w:val="none"/>
        </w:rPr>
      </w:pPr>
    </w:p>
    <w:p w14:paraId="7CA20BB5">
      <w:pPr>
        <w:pStyle w:val="26"/>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标</w:t>
      </w:r>
      <w:r>
        <w:rPr>
          <w:rFonts w:hint="eastAsia" w:ascii="宋体"/>
          <w:b/>
          <w:color w:val="auto"/>
          <w:sz w:val="32"/>
          <w:szCs w:val="32"/>
          <w:highlight w:val="none"/>
        </w:rPr>
        <w:t xml:space="preserve"> 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w:t>
      </w:r>
      <w:bookmarkStart w:id="83" w:name="_GoBack"/>
      <w:r>
        <w:rPr>
          <w:rFonts w:hint="eastAsia" w:ascii="宋体"/>
          <w:b/>
          <w:color w:val="auto"/>
          <w:sz w:val="32"/>
          <w:szCs w:val="32"/>
          <w:highlight w:val="none"/>
          <w:u w:val="single"/>
          <w:lang w:eastAsia="zh-CN"/>
        </w:rPr>
        <w:t>琅琊山旅游发展有限公司</w:t>
      </w:r>
      <w:bookmarkEnd w:id="83"/>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 xml:space="preserve"> </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9 </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16FB58A1">
      <w:pPr>
        <w:pStyle w:val="24"/>
        <w:tabs>
          <w:tab w:val="right" w:leader="dot" w:pos="8620"/>
        </w:tabs>
        <w:rPr>
          <w:rFonts w:hint="eastAsia" w:ascii="宋体" w:hAnsi="宋体" w:eastAsia="宋体" w:cs="宋体"/>
          <w:color w:val="auto"/>
          <w:sz w:val="28"/>
          <w:szCs w:val="28"/>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_Toc4483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_Toc4483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DC2904">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_Toc30272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第二章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_Toc30272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FC260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_Toc16145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_Toc16145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69A76C6">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_Toc8910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第四章  合同格式（参考）</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_Toc8910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CE0DA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_Toc23341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_Toc23341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12FFF4">
      <w:pPr>
        <w:pStyle w:val="24"/>
        <w:tabs>
          <w:tab w:val="right" w:leader="dot" w:pos="8620"/>
        </w:tabs>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  招标人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_Toc13076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4B1684">
      <w:pPr>
        <w:pStyle w:val="24"/>
        <w:tabs>
          <w:tab w:val="right" w:leader="dot" w:pos="8296"/>
        </w:tabs>
        <w:adjustRightInd w:val="0"/>
        <w:snapToGrid w:val="0"/>
        <w:spacing w:before="156" w:beforeLines="50" w:after="156" w:afterLines="50" w:line="500" w:lineRule="exact"/>
        <w:ind w:left="120" w:hanging="105"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4483"/>
      <w:r>
        <w:rPr>
          <w:rFonts w:hint="eastAsia" w:ascii="宋体"/>
          <w:b/>
          <w:color w:val="auto"/>
          <w:sz w:val="32"/>
          <w:szCs w:val="32"/>
          <w:highlight w:val="none"/>
        </w:rPr>
        <w:t xml:space="preserve">第一章  </w:t>
      </w:r>
      <w:r>
        <w:rPr>
          <w:rFonts w:hint="eastAsia" w:ascii="宋体"/>
          <w:b/>
          <w:color w:val="auto"/>
          <w:sz w:val="32"/>
          <w:szCs w:val="32"/>
          <w:highlight w:val="none"/>
          <w:lang w:val="en-US" w:eastAsia="zh-CN"/>
        </w:rPr>
        <w:t>招标公告</w:t>
      </w:r>
      <w:bookmarkEnd w:id="1"/>
    </w:p>
    <w:p w14:paraId="45ED2E4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25017AA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琅琊山清风明月楼、深秀湖水榭EPCO项目审计</w:t>
      </w:r>
      <w:r>
        <w:rPr>
          <w:rFonts w:hint="eastAsia" w:ascii="宋体" w:hAnsi="宋体" w:eastAsia="宋体" w:cs="宋体"/>
          <w:color w:val="auto"/>
          <w:sz w:val="21"/>
          <w:szCs w:val="21"/>
          <w:highlight w:val="none"/>
        </w:rPr>
        <w:t>的潜在投标人应在</w:t>
      </w:r>
      <w:r>
        <w:rPr>
          <w:rFonts w:hint="eastAsia" w:ascii="宋体" w:hAnsi="宋体" w:cs="宋体"/>
          <w:color w:val="auto"/>
          <w:sz w:val="21"/>
          <w:szCs w:val="21"/>
          <w:highlight w:val="none"/>
          <w:u w:val="single"/>
          <w:lang w:val="en-US" w:eastAsia="zh-CN"/>
        </w:rPr>
        <w:t>安徽省琅琊山旅游发展有限公司（https://www.lysfjq.cn/）或滁州市城投工程咨询管理有限公司（https://www.czctgczx.com/）网站</w:t>
      </w:r>
      <w:r>
        <w:rPr>
          <w:rFonts w:hint="eastAsia" w:ascii="宋体" w:hAnsi="宋体" w:eastAsia="宋体" w:cs="宋体"/>
          <w:color w:val="auto"/>
          <w:sz w:val="21"/>
          <w:szCs w:val="21"/>
          <w:highlight w:val="none"/>
        </w:rPr>
        <w:t>获取招标文件，并于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点</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分</w:t>
      </w:r>
      <w:r>
        <w:rPr>
          <w:rFonts w:hint="eastAsia" w:ascii="宋体" w:hAnsi="宋体" w:eastAsia="宋体" w:cs="宋体"/>
          <w:color w:val="auto"/>
          <w:sz w:val="21"/>
          <w:szCs w:val="21"/>
          <w:highlight w:val="none"/>
        </w:rPr>
        <w:t>（北京时间）前递交投标文件。</w:t>
      </w:r>
    </w:p>
    <w:p w14:paraId="02EEB9A9">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384E43">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项目编号：HXJY1110001062948001</w:t>
      </w:r>
    </w:p>
    <w:p w14:paraId="12BE7AB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琅琊山清风明月楼、深秀湖水榭EPCO项目审计</w:t>
      </w:r>
      <w:r>
        <w:rPr>
          <w:rFonts w:hint="eastAsia" w:ascii="宋体" w:hAnsi="宋体" w:eastAsia="宋体" w:cs="宋体"/>
          <w:color w:val="auto"/>
          <w:sz w:val="21"/>
          <w:szCs w:val="21"/>
          <w:highlight w:val="none"/>
          <w:shd w:val="clear" w:color="auto" w:fill="auto"/>
          <w:lang w:val="en-US" w:eastAsia="zh-CN"/>
        </w:rPr>
        <w:t xml:space="preserve"> </w:t>
      </w:r>
    </w:p>
    <w:p w14:paraId="4ADFF288">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预算金额：</w:t>
      </w:r>
      <w:r>
        <w:rPr>
          <w:rFonts w:hint="eastAsia" w:ascii="宋体" w:hAnsi="宋体" w:eastAsia="宋体" w:cs="宋体"/>
          <w:color w:val="auto"/>
          <w:sz w:val="21"/>
          <w:szCs w:val="21"/>
          <w:highlight w:val="none"/>
          <w:shd w:val="clear" w:color="auto" w:fill="auto"/>
          <w:lang w:val="en-US" w:eastAsia="zh-CN"/>
        </w:rPr>
        <w:t>本项目</w:t>
      </w:r>
      <w:r>
        <w:rPr>
          <w:rFonts w:hint="eastAsia" w:ascii="宋体" w:hAnsi="宋体" w:cs="宋体"/>
          <w:color w:val="auto"/>
          <w:sz w:val="21"/>
          <w:szCs w:val="21"/>
          <w:highlight w:val="none"/>
          <w:shd w:val="clear" w:color="auto" w:fill="auto"/>
          <w:lang w:val="en-US" w:eastAsia="zh-CN"/>
        </w:rPr>
        <w:t>投资额</w:t>
      </w:r>
      <w:r>
        <w:rPr>
          <w:rFonts w:hint="eastAsia" w:ascii="宋体" w:hAnsi="宋体" w:eastAsia="宋体" w:cs="宋体"/>
          <w:color w:val="auto"/>
          <w:sz w:val="21"/>
          <w:szCs w:val="21"/>
          <w:highlight w:val="none"/>
          <w:shd w:val="clear" w:color="auto" w:fill="auto"/>
          <w:lang w:val="en-US" w:eastAsia="zh-CN"/>
        </w:rPr>
        <w:t>约</w:t>
      </w:r>
      <w:r>
        <w:rPr>
          <w:rFonts w:hint="eastAsia" w:ascii="宋体" w:hAnsi="宋体" w:cs="宋体"/>
          <w:color w:val="auto"/>
          <w:sz w:val="21"/>
          <w:szCs w:val="21"/>
          <w:highlight w:val="none"/>
          <w:shd w:val="clear" w:color="auto" w:fill="auto"/>
          <w:lang w:val="en-US" w:eastAsia="zh-CN"/>
        </w:rPr>
        <w:t>388万元</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cs="宋体"/>
          <w:color w:val="auto"/>
          <w:sz w:val="21"/>
          <w:szCs w:val="21"/>
          <w:highlight w:val="none"/>
          <w:shd w:val="clear" w:color="auto" w:fill="auto"/>
          <w:lang w:val="en-US" w:eastAsia="zh-CN"/>
        </w:rPr>
        <w:t>本项目基本费率为3‰、审核成果费率为1.5%，服务费约2.1万元</w:t>
      </w:r>
    </w:p>
    <w:p w14:paraId="45F5CE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最高限价：</w:t>
      </w:r>
      <w:r>
        <w:rPr>
          <w:rFonts w:hint="eastAsia" w:ascii="宋体" w:hAnsi="宋体" w:cs="宋体"/>
          <w:color w:val="auto"/>
          <w:sz w:val="21"/>
          <w:szCs w:val="21"/>
          <w:highlight w:val="none"/>
          <w:shd w:val="clear" w:color="auto" w:fill="auto"/>
          <w:lang w:val="en-US" w:eastAsia="zh-CN"/>
        </w:rPr>
        <w:t>本项目投标报价采用百分比费率报价，最高限价为100.00%（百分数小数点后最多保留两位小数，否则第三位将四舍五入），投标报价（费率）不得高于最高限价，否则，按无效标处理</w:t>
      </w:r>
    </w:p>
    <w:p w14:paraId="364BA87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采购需求：</w:t>
      </w:r>
      <w:r>
        <w:rPr>
          <w:rFonts w:hint="eastAsia" w:ascii="宋体" w:hAnsi="宋体" w:eastAsia="宋体" w:cs="宋体"/>
          <w:color w:val="auto"/>
          <w:sz w:val="21"/>
          <w:szCs w:val="21"/>
          <w:highlight w:val="none"/>
          <w:shd w:val="clear" w:color="auto" w:fill="auto"/>
          <w:lang w:val="en-US" w:eastAsia="zh-CN"/>
        </w:rPr>
        <w:t>跟踪（结算）审计服务</w:t>
      </w:r>
    </w:p>
    <w:p w14:paraId="7428063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合同履行期限：</w:t>
      </w:r>
      <w:r>
        <w:rPr>
          <w:rFonts w:hint="eastAsia" w:ascii="宋体" w:hAnsi="宋体" w:cs="宋体"/>
          <w:color w:val="auto"/>
          <w:sz w:val="21"/>
          <w:szCs w:val="21"/>
          <w:highlight w:val="none"/>
          <w:shd w:val="clear" w:color="auto" w:fill="auto"/>
          <w:lang w:eastAsia="zh-CN"/>
        </w:rPr>
        <w:t>自签订合同之日起至完成结算审核报告</w:t>
      </w:r>
      <w:r>
        <w:rPr>
          <w:rFonts w:hint="eastAsia" w:ascii="宋体" w:hAnsi="宋体" w:eastAsia="宋体" w:cs="宋体"/>
          <w:color w:val="auto"/>
          <w:sz w:val="21"/>
          <w:szCs w:val="21"/>
          <w:highlight w:val="none"/>
          <w:shd w:val="clear" w:color="auto" w:fill="auto"/>
        </w:rPr>
        <w:t>。</w:t>
      </w:r>
    </w:p>
    <w:p w14:paraId="022551F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w:t>
      </w: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rPr>
        <w:t>接受联合体投标</w:t>
      </w:r>
      <w:r>
        <w:rPr>
          <w:rFonts w:hint="eastAsia" w:ascii="宋体" w:hAnsi="宋体" w:eastAsia="宋体" w:cs="宋体"/>
          <w:color w:val="auto"/>
          <w:sz w:val="21"/>
          <w:szCs w:val="21"/>
          <w:highlight w:val="none"/>
          <w:shd w:val="clear" w:color="auto" w:fill="auto"/>
          <w:lang w:eastAsia="zh-CN"/>
        </w:rPr>
        <w:t>。</w:t>
      </w:r>
    </w:p>
    <w:p w14:paraId="4CBFF0C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2" w:name="_Toc28359003"/>
      <w:bookmarkStart w:id="3" w:name="_Toc35393622"/>
      <w:bookmarkStart w:id="4" w:name="_Toc35393791"/>
      <w:bookmarkStart w:id="5" w:name="_Toc28359080"/>
      <w:r>
        <w:rPr>
          <w:rFonts w:hint="eastAsia" w:ascii="宋体" w:hAnsi="宋体" w:eastAsia="宋体" w:cs="宋体"/>
          <w:b/>
          <w:bCs/>
          <w:color w:val="auto"/>
          <w:sz w:val="24"/>
          <w:szCs w:val="24"/>
          <w:highlight w:val="none"/>
        </w:rPr>
        <w:t>二、申请人的资格要求</w:t>
      </w:r>
      <w:bookmarkEnd w:id="2"/>
      <w:bookmarkEnd w:id="3"/>
      <w:bookmarkEnd w:id="4"/>
      <w:bookmarkEnd w:id="5"/>
    </w:p>
    <w:p w14:paraId="3AA719F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bookmarkStart w:id="6" w:name="_Toc35393792"/>
      <w:bookmarkStart w:id="7" w:name="_Toc28359004"/>
      <w:bookmarkStart w:id="8" w:name="_Toc35393623"/>
      <w:bookmarkStart w:id="9" w:name="_Toc28359081"/>
      <w:r>
        <w:rPr>
          <w:rFonts w:hint="eastAsia" w:ascii="宋体" w:hAnsi="宋体" w:eastAsia="宋体" w:cs="宋体"/>
          <w:color w:val="auto"/>
          <w:sz w:val="21"/>
          <w:szCs w:val="21"/>
          <w:highlight w:val="none"/>
          <w:lang w:val="en-US" w:eastAsia="zh-CN"/>
        </w:rPr>
        <w:t>1.投标人要求：须具有独立承担民事责任的能力；</w:t>
      </w:r>
    </w:p>
    <w:p w14:paraId="67A16787">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2.项目负责人要求：须具有注册在投标单位的</w:t>
      </w:r>
      <w:r>
        <w:rPr>
          <w:rFonts w:hint="eastAsia" w:ascii="宋体" w:hAnsi="宋体" w:cs="宋体"/>
          <w:color w:val="auto"/>
          <w:sz w:val="21"/>
          <w:szCs w:val="21"/>
          <w:highlight w:val="none"/>
          <w:lang w:val="en-US" w:eastAsia="zh-CN"/>
        </w:rPr>
        <w:t>土木建筑工程专业</w:t>
      </w:r>
      <w:r>
        <w:rPr>
          <w:rFonts w:hint="eastAsia" w:ascii="宋体" w:hAnsi="宋体" w:eastAsia="宋体" w:cs="宋体"/>
          <w:color w:val="auto"/>
          <w:sz w:val="21"/>
          <w:szCs w:val="21"/>
          <w:highlight w:val="none"/>
          <w:lang w:val="en-US" w:eastAsia="zh-CN"/>
        </w:rPr>
        <w:t>一级注册造价工程师（或原注册造价工程师）；</w:t>
      </w:r>
    </w:p>
    <w:p w14:paraId="38E91381">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3.项目组人员（不含项目负责人）配置要求：不少于2名注册在投标单位的二级及以上造价工程师（其中土木建筑工程专业不少于1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，安装工程专业不少于1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w:t>
      </w:r>
    </w:p>
    <w:p w14:paraId="3C49B490">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bookmarkEnd w:id="6"/>
      <w:bookmarkEnd w:id="7"/>
      <w:bookmarkEnd w:id="8"/>
      <w:bookmarkEnd w:id="9"/>
    </w:p>
    <w:p w14:paraId="5944036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iCs/>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 xml:space="preserve"> 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p>
    <w:p w14:paraId="0997B67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方式：网上下载</w:t>
      </w:r>
    </w:p>
    <w:p w14:paraId="1EDDFFB2">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43121A9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10" w:name="_Toc28359082"/>
      <w:bookmarkStart w:id="11" w:name="_Toc28359005"/>
      <w:bookmarkStart w:id="12" w:name="_Toc35393624"/>
      <w:bookmarkStart w:id="13" w:name="_Toc35393793"/>
      <w:r>
        <w:rPr>
          <w:rFonts w:hint="eastAsia" w:ascii="宋体" w:hAnsi="宋体" w:eastAsia="宋体" w:cs="宋体"/>
          <w:b/>
          <w:bCs/>
          <w:color w:val="auto"/>
          <w:sz w:val="24"/>
          <w:szCs w:val="24"/>
          <w:highlight w:val="none"/>
        </w:rPr>
        <w:t>四、提交投标文件</w:t>
      </w:r>
      <w:bookmarkEnd w:id="10"/>
      <w:bookmarkEnd w:id="11"/>
      <w:r>
        <w:rPr>
          <w:rFonts w:hint="eastAsia" w:ascii="宋体" w:hAnsi="宋体" w:eastAsia="宋体" w:cs="宋体"/>
          <w:b/>
          <w:bCs/>
          <w:color w:val="auto"/>
          <w:sz w:val="24"/>
          <w:szCs w:val="24"/>
          <w:highlight w:val="none"/>
        </w:rPr>
        <w:t>截止时间、开标时间和地点</w:t>
      </w:r>
      <w:bookmarkEnd w:id="12"/>
      <w:bookmarkEnd w:id="13"/>
    </w:p>
    <w:p w14:paraId="69DB056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bCs/>
          <w:color w:val="auto"/>
          <w:sz w:val="21"/>
          <w:szCs w:val="21"/>
          <w:highlight w:val="none"/>
          <w:u w:val="none"/>
          <w:lang w:val="en-US" w:eastAsia="zh-CN"/>
        </w:rPr>
        <w:t>时间：2026年</w:t>
      </w:r>
      <w:r>
        <w:rPr>
          <w:rFonts w:hint="eastAsia" w:ascii="宋体" w:hAnsi="宋体" w:cs="宋体"/>
          <w:bCs/>
          <w:color w:val="auto"/>
          <w:sz w:val="21"/>
          <w:szCs w:val="21"/>
          <w:highlight w:val="none"/>
          <w:u w:val="none"/>
          <w:lang w:val="en-US" w:eastAsia="zh-CN"/>
        </w:rPr>
        <w:t>9</w:t>
      </w:r>
      <w:r>
        <w:rPr>
          <w:rFonts w:hint="eastAsia" w:ascii="宋体" w:hAnsi="宋体" w:eastAsia="宋体" w:cs="宋体"/>
          <w:bCs/>
          <w:color w:val="auto"/>
          <w:sz w:val="21"/>
          <w:szCs w:val="21"/>
          <w:highlight w:val="none"/>
          <w:u w:val="none"/>
          <w:lang w:val="en-US" w:eastAsia="zh-CN"/>
        </w:rPr>
        <w:t>月</w:t>
      </w:r>
      <w:r>
        <w:rPr>
          <w:rFonts w:hint="eastAsia" w:ascii="宋体" w:hAnsi="宋体" w:cs="宋体"/>
          <w:bCs/>
          <w:color w:val="auto"/>
          <w:sz w:val="21"/>
          <w:szCs w:val="21"/>
          <w:highlight w:val="none"/>
          <w:u w:val="none"/>
          <w:lang w:val="en-US" w:eastAsia="zh-CN"/>
        </w:rPr>
        <w:t>17</w:t>
      </w:r>
      <w:r>
        <w:rPr>
          <w:rFonts w:hint="eastAsia" w:ascii="宋体" w:hAnsi="宋体" w:eastAsia="宋体" w:cs="宋体"/>
          <w:bCs/>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8</w:t>
      </w:r>
      <w:r>
        <w:rPr>
          <w:rFonts w:hint="eastAsia" w:ascii="宋体" w:hAnsi="宋体" w:eastAsia="宋体" w:cs="宋体"/>
          <w:bCs/>
          <w:color w:val="auto"/>
          <w:sz w:val="21"/>
          <w:szCs w:val="21"/>
          <w:highlight w:val="none"/>
          <w:u w:val="none"/>
          <w:lang w:val="en-US" w:eastAsia="zh-CN"/>
        </w:rPr>
        <w:t>时</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en-US" w:eastAsia="zh-CN"/>
        </w:rPr>
        <w:t>0分；</w:t>
      </w:r>
    </w:p>
    <w:p w14:paraId="72EE8B4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地点：网上开标，投标人登录滁州市城投工程咨询管理有限公司不见面开标系统参与网上开标（网址：http://js.etrading.cn/EpointBidOpening/bidopeninghallaction/hall/login）。</w:t>
      </w:r>
    </w:p>
    <w:p w14:paraId="25B4CBF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、投标保证金金额及缴纳账户</w:t>
      </w:r>
    </w:p>
    <w:p w14:paraId="1424E71A">
      <w:pPr>
        <w:pStyle w:val="127"/>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bookmarkStart w:id="14" w:name="_Toc35393626"/>
      <w:bookmarkStart w:id="15" w:name="_Toc35393795"/>
      <w:r>
        <w:rPr>
          <w:rFonts w:hint="eastAsia" w:ascii="宋体" w:hAnsi="宋体" w:eastAsia="宋体" w:cs="宋体"/>
          <w:color w:val="auto"/>
          <w:sz w:val="24"/>
          <w:szCs w:val="24"/>
          <w:highlight w:val="none"/>
        </w:rPr>
        <w:t>窗体顶端</w:t>
      </w:r>
    </w:p>
    <w:p w14:paraId="5F4E68C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是否要求投标人提交投标保证金：不要求。</w:t>
      </w:r>
    </w:p>
    <w:p w14:paraId="0DAC3816">
      <w:pPr>
        <w:pStyle w:val="128"/>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窗体底端</w:t>
      </w:r>
    </w:p>
    <w:bookmarkEnd w:id="14"/>
    <w:bookmarkEnd w:id="15"/>
    <w:p w14:paraId="054AED3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六、其他补充事宜</w:t>
      </w:r>
    </w:p>
    <w:p w14:paraId="42C4733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7A3B4C">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09DC384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777A2B1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0861F4D0">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5.本项目采用不见面开标，投标人登录滁州市城投工程咨询管理有限公司不见面开标系统参与网上开标（网址：http://js.etrading.cn/EpointBidOpening/bidopeninghallaction/hall/login）。</w:t>
      </w:r>
    </w:p>
    <w:p w14:paraId="7DCF7B8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6.投标人应在投标截止时间之前，登录新点电子交易平台【滁州专区】上传投标文件。投标人逾期上传投标文件的，电子系统不予受理。</w:t>
      </w:r>
    </w:p>
    <w:p w14:paraId="27C547C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6B421E9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8.投标人的联系人电话(手机)、电子邮箱等通讯方式在开标过程中必须保持畅通，否则因上述原因造成的后果，责任自负</w:t>
      </w:r>
      <w:r>
        <w:rPr>
          <w:rFonts w:hint="eastAsia" w:ascii="宋体" w:hAnsi="宋体" w:eastAsia="宋体" w:cs="宋体"/>
          <w:color w:val="auto"/>
          <w:sz w:val="21"/>
          <w:szCs w:val="21"/>
          <w:highlight w:val="none"/>
          <w:lang w:eastAsia="zh-CN"/>
        </w:rPr>
        <w:t>。</w:t>
      </w:r>
    </w:p>
    <w:p w14:paraId="3D3E748B">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七、对本次招标提出询问，请按以下方式联系</w:t>
      </w:r>
    </w:p>
    <w:p w14:paraId="7307E47C">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6" w:name="_Toc3512"/>
      <w:r>
        <w:rPr>
          <w:rFonts w:hint="eastAsia" w:ascii="宋体" w:hAnsi="宋体" w:eastAsia="宋体" w:cs="宋体"/>
          <w:color w:val="auto"/>
          <w:kern w:val="2"/>
          <w:sz w:val="21"/>
          <w:szCs w:val="21"/>
          <w:highlight w:val="none"/>
        </w:rPr>
        <w:t>1.招标人信息</w:t>
      </w:r>
      <w:bookmarkEnd w:id="16"/>
    </w:p>
    <w:p w14:paraId="604ADC3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4191A14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u w:val="single"/>
          <w:lang w:eastAsia="zh-CN"/>
        </w:rPr>
        <w:t>安徽省滁州市西涧中路4306号</w:t>
      </w:r>
    </w:p>
    <w:p w14:paraId="2886E21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u w:val="single"/>
          <w:lang w:eastAsia="zh-CN"/>
        </w:rPr>
        <w:t>代工</w:t>
      </w:r>
    </w:p>
    <w:p w14:paraId="22A045A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联系方式：</w:t>
      </w:r>
      <w:r>
        <w:rPr>
          <w:rFonts w:hint="eastAsia" w:ascii="宋体" w:hAnsi="宋体" w:cs="宋体"/>
          <w:color w:val="auto"/>
          <w:sz w:val="21"/>
          <w:szCs w:val="21"/>
          <w:highlight w:val="none"/>
          <w:u w:val="single"/>
          <w:lang w:val="en-US" w:eastAsia="zh-CN"/>
        </w:rPr>
        <w:t>0550-3525595</w:t>
      </w:r>
    </w:p>
    <w:p w14:paraId="46F6CDF9">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7" w:name="_Toc9966"/>
      <w:r>
        <w:rPr>
          <w:rFonts w:hint="eastAsia" w:ascii="宋体" w:hAnsi="宋体" w:eastAsia="宋体" w:cs="宋体"/>
          <w:color w:val="auto"/>
          <w:kern w:val="2"/>
          <w:sz w:val="21"/>
          <w:szCs w:val="21"/>
          <w:highlight w:val="none"/>
        </w:rPr>
        <w:t>2.代理机构信息</w:t>
      </w:r>
      <w:bookmarkEnd w:id="17"/>
    </w:p>
    <w:p w14:paraId="6503ED2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滁州市城投工程咨询管理有限公司</w:t>
      </w:r>
    </w:p>
    <w:p w14:paraId="6AB9D21A">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滁州市龙蟠大道109号房产商务大厦6楼</w:t>
      </w:r>
    </w:p>
    <w:p w14:paraId="2430B6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single"/>
        </w:rPr>
        <w:t>胡国庆</w:t>
      </w:r>
    </w:p>
    <w:p w14:paraId="335066C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lang w:eastAsia="zh-CN"/>
        </w:rPr>
        <w:t>0550-3519517、18005500950</w:t>
      </w:r>
    </w:p>
    <w:p w14:paraId="42608EA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18" w:name="_Toc30272"/>
      <w:r>
        <w:rPr>
          <w:rFonts w:hint="eastAsia" w:ascii="宋体"/>
          <w:b/>
          <w:color w:val="auto"/>
          <w:sz w:val="32"/>
          <w:szCs w:val="32"/>
          <w:highlight w:val="none"/>
        </w:rPr>
        <w:t xml:space="preserve">第二章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投标人须知</w:t>
      </w:r>
      <w:bookmarkEnd w:id="18"/>
    </w:p>
    <w:p w14:paraId="355FA043">
      <w:pPr>
        <w:snapToGrid w:val="0"/>
        <w:spacing w:line="500" w:lineRule="exact"/>
        <w:jc w:val="center"/>
        <w:outlineLvl w:val="1"/>
        <w:rPr>
          <w:rFonts w:hint="eastAsia" w:ascii="宋体"/>
          <w:b/>
          <w:color w:val="auto"/>
          <w:sz w:val="28"/>
          <w:szCs w:val="28"/>
          <w:highlight w:val="none"/>
        </w:rPr>
      </w:pPr>
      <w:bookmarkStart w:id="19" w:name="_Toc449028865"/>
      <w:bookmarkStart w:id="20" w:name="_Toc15210"/>
      <w:bookmarkStart w:id="21" w:name="_Toc58430314"/>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9"/>
      <w:bookmarkEnd w:id="20"/>
      <w:bookmarkEnd w:id="21"/>
    </w:p>
    <w:tbl>
      <w:tblPr>
        <w:tblStyle w:val="35"/>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琅琊山清风明月楼、深秀湖水榭EPCO项目审计</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自签订合同之日起至完成结算审核报告</w:t>
            </w:r>
            <w:r>
              <w:rPr>
                <w:rFonts w:hint="eastAsia" w:ascii="宋体" w:hAnsi="宋体" w:eastAsia="宋体" w:cs="宋体"/>
                <w:color w:val="auto"/>
                <w:sz w:val="21"/>
                <w:szCs w:val="21"/>
                <w:highlight w:val="none"/>
              </w:rPr>
              <w:t>。</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代工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0550-3525595</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eastAsia="zh-CN"/>
              </w:rPr>
              <w:t>胡国庆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eastAsia="zh-CN"/>
              </w:rPr>
              <w:t>：0550-3519517、18005500950</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自筹资金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本项目投资额约388万元，本项目基本费率为3‰、审核成果费率为1.5%，服务费约2.1万元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费率）</w:t>
            </w:r>
          </w:p>
        </w:tc>
        <w:tc>
          <w:tcPr>
            <w:tcW w:w="6824" w:type="dxa"/>
            <w:noWrap w:val="0"/>
            <w:vAlign w:val="center"/>
          </w:tcPr>
          <w:p w14:paraId="375220E2">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本项目投标报价采用百分比费率报价，最高限价为100.00%（百分数小数点后最多保留两位小数，否则第三位将四舍五入），投标报价（费率）不得高于最高限价，否则，按无效标处理。</w:t>
            </w:r>
          </w:p>
          <w:p w14:paraId="0B33808B">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注：</w:t>
            </w:r>
          </w:p>
          <w:p w14:paraId="1E955C41">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1.无论任何原因（包含但不限于设计图纸变更等）导致的项目期限延长，委托人均不再增加审计服务费用。</w:t>
            </w:r>
          </w:p>
          <w:p w14:paraId="2D64DD2B">
            <w:pPr>
              <w:pStyle w:val="17"/>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2.投标人须认真研究项目的招标文件，并仔细踏勘现场，若对本项目有异议，应在投标答疑时向招标人提出。</w:t>
            </w:r>
          </w:p>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eastAsia" w:hAnsi="宋体" w:cs="宋体"/>
                <w:color w:val="auto"/>
                <w:sz w:val="21"/>
                <w:szCs w:val="21"/>
                <w:highlight w:val="none"/>
                <w:lang w:val="en-US" w:eastAsia="zh-CN"/>
              </w:rPr>
              <w:t>3.本项目基本费率为3‰、审核成果费率为1.5%，</w:t>
            </w:r>
            <w:r>
              <w:rPr>
                <w:rFonts w:hint="eastAsia" w:hAnsi="宋体" w:cs="宋体"/>
                <w:b/>
                <w:bCs/>
                <w:color w:val="auto"/>
                <w:sz w:val="21"/>
                <w:szCs w:val="21"/>
                <w:highlight w:val="none"/>
                <w:lang w:val="en-US" w:eastAsia="zh-CN"/>
              </w:rPr>
              <w:t>审计费用=（基本费+审核成果费）×中标费率。其中，跟踪审计服务基本费计算基数为审定金额；审核成果费计算基数为独立核减金额。</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25820C3D">
            <w:pPr>
              <w:pStyle w:val="17"/>
              <w:keepNext w:val="0"/>
              <w:keepLines w:val="0"/>
              <w:pageBreakBefore w:val="0"/>
              <w:numPr>
                <w:ilvl w:val="0"/>
                <w:numId w:val="0"/>
              </w:numPr>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跟踪（结算）审计服务；出具的工程造价咨询成果文件质量应符合现行国家或行业工程计价有关规定、标准、规范的要求。</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安徽省琅琊山旅游发展有限公司（https://www.lysfjq.cn/）、滁州市城投工程咨询管理有限公司（https://www.czctgczx.com/）等网站</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解密电子投标文件后，由评标委员会评审。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BE3F07D">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p>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评标专家确定方式：专家评委由招标单位在评标前24小时内从专家库中随机抽取</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5757C0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371" w:type="dxa"/>
            <w:gridSpan w:val="2"/>
            <w:noWrap w:val="0"/>
            <w:vAlign w:val="center"/>
          </w:tcPr>
          <w:p w14:paraId="66621BB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29" w:type="dxa"/>
            <w:gridSpan w:val="2"/>
            <w:noWrap w:val="0"/>
            <w:vAlign w:val="center"/>
          </w:tcPr>
          <w:p w14:paraId="0C239EA8">
            <w:pPr>
              <w:pStyle w:val="28"/>
              <w:keepNext w:val="0"/>
              <w:keepLines w:val="0"/>
              <w:pageBreakBefore w:val="0"/>
              <w:widowControl w:val="0"/>
              <w:kinsoku/>
              <w:wordWrap/>
              <w:overflowPunct/>
              <w:topLinePunct w:val="0"/>
              <w:autoSpaceDE/>
              <w:autoSpaceDN/>
              <w:bidi w:val="0"/>
              <w:adjustRightInd/>
              <w:snapToGrid/>
              <w:spacing w:after="0" w:line="500" w:lineRule="exact"/>
              <w:jc w:val="left"/>
              <w:textAlignment w:val="auto"/>
              <w:rPr>
                <w:rFonts w:hint="default"/>
                <w:color w:val="auto"/>
                <w:highlight w:val="none"/>
                <w:lang w:val="en-US" w:eastAsia="zh-CN"/>
              </w:rPr>
            </w:pPr>
            <w:r>
              <w:rPr>
                <w:rFonts w:hint="eastAsia" w:hAnsi="宋体" w:cs="宋体"/>
                <w:color w:val="auto"/>
                <w:sz w:val="21"/>
                <w:szCs w:val="21"/>
                <w:highlight w:val="none"/>
                <w:lang w:val="en-US" w:eastAsia="zh-CN"/>
              </w:rPr>
              <w:t>工程竣工验收合格并审计结算完成后一次性付清。</w:t>
            </w:r>
          </w:p>
        </w:tc>
      </w:tr>
      <w:tr w14:paraId="7D9F4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4A5F705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bookmarkStart w:id="22" w:name="_Toc449028866"/>
            <w:bookmarkStart w:id="23" w:name="_Toc12127"/>
            <w:bookmarkStart w:id="24" w:name="_Toc58430315"/>
            <w:r>
              <w:rPr>
                <w:rFonts w:hint="eastAsia" w:ascii="宋体" w:hAnsi="宋体" w:cs="宋体"/>
                <w:color w:val="auto"/>
                <w:sz w:val="21"/>
                <w:szCs w:val="21"/>
                <w:highlight w:val="none"/>
                <w:lang w:val="en-US" w:eastAsia="zh-CN"/>
              </w:rPr>
              <w:t>评标过程中的澄清、说明或补正</w:t>
            </w:r>
          </w:p>
        </w:tc>
        <w:tc>
          <w:tcPr>
            <w:tcW w:w="7829" w:type="dxa"/>
            <w:gridSpan w:val="2"/>
            <w:noWrap w:val="0"/>
            <w:vAlign w:val="center"/>
          </w:tcPr>
          <w:p w14:paraId="2D211D62">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（1）评标委员会通过网上招投标系统将需要澄清、说明或补正的内容以询标函的形式发送给投标人，投标人应安排专人登录网上招投标系统并保持在线状态，以便及时接收评标委员会可能发出的询标函。</w:t>
            </w:r>
          </w:p>
          <w:p w14:paraId="14349A39">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BD928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5833F9E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p>
        </w:tc>
        <w:tc>
          <w:tcPr>
            <w:tcW w:w="7829" w:type="dxa"/>
            <w:gridSpan w:val="2"/>
            <w:noWrap w:val="0"/>
            <w:vAlign w:val="center"/>
          </w:tcPr>
          <w:p w14:paraId="49D3EC8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1、本招标文件前后条款若有不一致之处，在澄清答疑时又未作出明确规定时，各投标人的投标文件只要满足其中任一条款，均视为对本招标文件的响应。</w:t>
            </w:r>
          </w:p>
          <w:p w14:paraId="69709F9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2、系统中提供的表格与招标文件不一致时，以招标文件中提供的表格格式为准。</w:t>
            </w:r>
          </w:p>
          <w:p w14:paraId="38DBB0D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3、本项目招标公告与本招标文件不一致之处，以本招标文件为准。</w:t>
            </w:r>
          </w:p>
          <w:p w14:paraId="60A96CB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4、本文件的最终解释权归招标人、招标代理机构所有。</w:t>
            </w:r>
          </w:p>
        </w:tc>
      </w:tr>
      <w:tr w14:paraId="208374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1F02842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特别说明</w:t>
            </w:r>
          </w:p>
        </w:tc>
        <w:tc>
          <w:tcPr>
            <w:tcW w:w="7829" w:type="dxa"/>
            <w:gridSpan w:val="2"/>
            <w:noWrap w:val="0"/>
            <w:vAlign w:val="center"/>
          </w:tcPr>
          <w:p w14:paraId="260FAA2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琅琊山清风明月楼、深秀湖水榭EPCO项目</w:t>
            </w:r>
            <w:r>
              <w:rPr>
                <w:rFonts w:hint="eastAsia" w:ascii="宋体" w:hAnsi="宋体" w:eastAsia="宋体" w:cs="宋体"/>
                <w:b/>
                <w:bCs/>
                <w:color w:val="auto"/>
                <w:sz w:val="21"/>
                <w:szCs w:val="21"/>
                <w:highlight w:val="none"/>
                <w:lang w:val="en-US" w:eastAsia="zh-CN"/>
              </w:rPr>
              <w:t>设计单位、施工单位、监理单位、招标代理单位及</w:t>
            </w:r>
            <w:r>
              <w:rPr>
                <w:rFonts w:hint="eastAsia" w:ascii="宋体" w:hAnsi="宋体" w:cs="宋体"/>
                <w:b/>
                <w:bCs/>
                <w:color w:val="auto"/>
                <w:sz w:val="21"/>
                <w:szCs w:val="21"/>
                <w:highlight w:val="none"/>
                <w:lang w:val="en-US" w:eastAsia="zh-CN"/>
              </w:rPr>
              <w:t>清单控制价编制单位</w:t>
            </w:r>
            <w:r>
              <w:rPr>
                <w:rFonts w:hint="eastAsia" w:ascii="宋体" w:hAnsi="宋体" w:eastAsia="宋体" w:cs="宋体"/>
                <w:b/>
                <w:bCs/>
                <w:color w:val="auto"/>
                <w:sz w:val="21"/>
                <w:szCs w:val="21"/>
                <w:highlight w:val="none"/>
                <w:lang w:val="en-US" w:eastAsia="zh-CN"/>
              </w:rPr>
              <w:t>，不得参加本项目投标。</w:t>
            </w:r>
          </w:p>
        </w:tc>
      </w:tr>
    </w:tbl>
    <w:p w14:paraId="367AAA42">
      <w:pPr>
        <w:pageBreakBefore/>
        <w:spacing w:before="312" w:beforeLines="100" w:after="312" w:afterLines="100" w:line="440" w:lineRule="exact"/>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22"/>
      <w:bookmarkEnd w:id="23"/>
      <w:bookmarkEnd w:id="24"/>
    </w:p>
    <w:p w14:paraId="71C5E524">
      <w:pPr>
        <w:spacing w:line="440" w:lineRule="exact"/>
        <w:jc w:val="center"/>
        <w:rPr>
          <w:rFonts w:hint="eastAsia" w:ascii="宋体" w:hAnsi="宋体" w:cs="宋体"/>
          <w:color w:val="auto"/>
          <w:sz w:val="28"/>
          <w:szCs w:val="28"/>
          <w:highlight w:val="none"/>
        </w:rPr>
      </w:pPr>
      <w:bookmarkStart w:id="25"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5"/>
    </w:p>
    <w:p w14:paraId="6751CB15">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2794C4BA">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F0FC197">
      <w:pPr>
        <w:snapToGrid w:val="0"/>
        <w:spacing w:line="440" w:lineRule="exact"/>
        <w:ind w:firstLine="840" w:firstLineChars="400"/>
        <w:rPr>
          <w:rFonts w:hint="eastAsia" w:ascii="宋体" w:hAnsi="宋体" w:cs="宋体"/>
          <w:color w:val="auto"/>
          <w:szCs w:val="21"/>
          <w:highlight w:val="none"/>
          <w:u w:val="single"/>
        </w:rPr>
      </w:pPr>
      <w:r>
        <w:rPr>
          <w:rFonts w:hint="eastAsia" w:ascii="宋体" w:hAnsi="宋体" w:cs="宋体"/>
          <w:color w:val="auto"/>
          <w:szCs w:val="21"/>
          <w:highlight w:val="none"/>
        </w:rPr>
        <w:t>项目编号：见投标人须知前附表。</w:t>
      </w:r>
    </w:p>
    <w:p w14:paraId="6C4DA563">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342C6A91">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期：见投标人须知前附表。</w:t>
      </w:r>
    </w:p>
    <w:p w14:paraId="357F27A4">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4992A507">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见投标人须知前附表。</w:t>
      </w:r>
    </w:p>
    <w:p w14:paraId="0C184FFA">
      <w:pPr>
        <w:snapToGrid w:val="0"/>
        <w:spacing w:line="44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rPr>
        <w:t xml:space="preserve">  代理机构及联系人: 见投标人须知前附表。</w:t>
      </w:r>
    </w:p>
    <w:p w14:paraId="188B78C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313A93F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4DB87F7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72B7BF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983D489">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2.1 采购内容：见投标人须知前附表。</w:t>
      </w:r>
    </w:p>
    <w:p w14:paraId="260899ED">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3470692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6AB9D787">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62FC656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00F9DE79">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CE3412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固定费率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76A9A77C">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128FE8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综合评估法</w:t>
      </w:r>
      <w:r>
        <w:rPr>
          <w:rFonts w:hint="eastAsia" w:ascii="宋体" w:hAnsi="宋体" w:cs="宋体"/>
          <w:color w:val="auto"/>
          <w:szCs w:val="21"/>
          <w:highlight w:val="none"/>
        </w:rPr>
        <w:t>（详见第三章评标办法）</w:t>
      </w:r>
    </w:p>
    <w:p w14:paraId="2165EE83">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7691ED36">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7.1本项目投标人资格：见投标人须知前附表。</w:t>
      </w:r>
    </w:p>
    <w:p w14:paraId="6E10BC6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948CC28">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2BCAF23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w:t>
      </w:r>
      <w:bookmarkStart w:id="26" w:name="_Toc247592876"/>
      <w:bookmarkStart w:id="27" w:name="_Toc247513962"/>
      <w:bookmarkStart w:id="28" w:name="_Toc152045539"/>
      <w:bookmarkStart w:id="29" w:name="_Toc247527563"/>
      <w:bookmarkStart w:id="30" w:name="_Toc144974507"/>
      <w:bookmarkStart w:id="31" w:name="_Toc296602429"/>
      <w:bookmarkStart w:id="32" w:name="_Toc152042315"/>
      <w:r>
        <w:rPr>
          <w:rFonts w:hint="eastAsia" w:ascii="宋体" w:hAnsi="宋体" w:cs="宋体"/>
          <w:b/>
          <w:color w:val="auto"/>
          <w:szCs w:val="21"/>
          <w:highlight w:val="none"/>
        </w:rPr>
        <w:t xml:space="preserve"> 踏勘现场</w:t>
      </w:r>
      <w:bookmarkEnd w:id="26"/>
      <w:bookmarkEnd w:id="27"/>
      <w:bookmarkEnd w:id="28"/>
      <w:bookmarkEnd w:id="29"/>
      <w:bookmarkEnd w:id="30"/>
      <w:bookmarkEnd w:id="31"/>
      <w:bookmarkEnd w:id="32"/>
    </w:p>
    <w:p w14:paraId="75C9E8AA">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 xml:space="preserve">按投标人须知前附表规定的时间、地点组织投标人踏勘项目现场。 </w:t>
      </w:r>
    </w:p>
    <w:p w14:paraId="285F926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23FA28D6">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的原因外，投标人自行负责在踏勘现场中所发生的人员伤亡和财产损失。</w:t>
      </w:r>
    </w:p>
    <w:p w14:paraId="36C87362">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在踏勘现场中介绍的场地和相关的周边环境情况，供投标人在编制投标文件时参考，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不对投标人据此作出的判断和决策负责。</w:t>
      </w:r>
      <w:bookmarkStart w:id="33" w:name="_Toc296602430"/>
      <w:bookmarkStart w:id="34" w:name="_Toc247527564"/>
      <w:bookmarkStart w:id="35" w:name="_Toc152045540"/>
      <w:bookmarkStart w:id="36" w:name="_Toc247592877"/>
      <w:bookmarkStart w:id="37" w:name="_Toc152042316"/>
      <w:bookmarkStart w:id="38" w:name="_Toc247513963"/>
      <w:bookmarkStart w:id="39" w:name="_Toc144974508"/>
    </w:p>
    <w:p w14:paraId="72301C1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33"/>
      <w:bookmarkEnd w:id="34"/>
      <w:bookmarkEnd w:id="35"/>
      <w:bookmarkEnd w:id="36"/>
      <w:bookmarkEnd w:id="37"/>
      <w:bookmarkEnd w:id="38"/>
      <w:bookmarkEnd w:id="39"/>
      <w:r>
        <w:rPr>
          <w:rFonts w:hint="eastAsia" w:ascii="宋体" w:hAnsi="宋体" w:cs="宋体"/>
          <w:b/>
          <w:color w:val="auto"/>
          <w:szCs w:val="21"/>
          <w:highlight w:val="none"/>
        </w:rPr>
        <w:t>（本项目不采用）</w:t>
      </w:r>
    </w:p>
    <w:p w14:paraId="151E551C">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10.1投标人须知前附表规定召开投标预备会的，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按投标人须知前附表规定的时间和地点召开投标预备会，澄清投标人提出的问题。</w:t>
      </w:r>
    </w:p>
    <w:p w14:paraId="1711C381">
      <w:pPr>
        <w:numPr>
          <w:ilvl w:val="0"/>
          <w:numId w:val="8"/>
        </w:num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联合投标、合同分包（本项目不采用）</w:t>
      </w:r>
    </w:p>
    <w:p w14:paraId="5E4C139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cs="宋体"/>
          <w:color w:val="auto"/>
          <w:highlight w:val="none"/>
        </w:rPr>
        <w:t>中华人民共和国政府采购法</w:t>
      </w:r>
      <w:r>
        <w:rPr>
          <w:rFonts w:hint="eastAsia" w:ascii="宋体" w:hAnsi="宋体" w:cs="宋体"/>
          <w:color w:val="auto"/>
          <w:szCs w:val="21"/>
          <w:highlight w:val="none"/>
        </w:rPr>
        <w:t>》第二十二条规定的条件。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根据采购项目的特殊要求规定投标人特定条件的，联合体各方中至少应当有一方符合</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规定的特定条件。</w:t>
      </w:r>
    </w:p>
    <w:p w14:paraId="4E3E8685">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。联合体各方签订共同投标协议后，不得再以自己名义单独在同一项目中投标，也不得组成新的联合体参加同一项目投标。</w:t>
      </w:r>
    </w:p>
    <w:p w14:paraId="4632889C">
      <w:pPr>
        <w:spacing w:line="44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11.3 联合体应当确定其中一个单位为投标的全权代表，负责参加投标的一切事务，并承担投标及履约中应承担的全部责任与义务。</w:t>
      </w:r>
    </w:p>
    <w:p w14:paraId="2B079823">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11.4 联合体各方应当共同与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签订采购合同，就采购合同约定的事项对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承担连带责任。</w:t>
      </w:r>
    </w:p>
    <w:p w14:paraId="0552FA5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11.5 联合体中有同类资质的供应商按照联合体分工承担相同工作的，应当按照资质等级较低的供应商确定资质等级。</w:t>
      </w:r>
    </w:p>
    <w:p w14:paraId="58FD39DE">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11.6 非专门面向中小企业采购项目是否允许大中型企业向一家或者多家小微企业分包见投标人须知前附表。</w:t>
      </w:r>
    </w:p>
    <w:p w14:paraId="73F505EE">
      <w:pPr>
        <w:spacing w:line="440" w:lineRule="exact"/>
        <w:ind w:firstLine="413" w:firstLineChars="196"/>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29DF70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见投标人须知前附表。</w:t>
      </w:r>
    </w:p>
    <w:p w14:paraId="1210020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2ECE2C1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和要求等必须</w:t>
      </w:r>
      <w:r>
        <w:rPr>
          <w:rFonts w:hint="eastAsia" w:ascii="宋体" w:hAnsi="宋体" w:cs="宋体"/>
          <w:color w:val="auto"/>
          <w:szCs w:val="21"/>
          <w:highlight w:val="none"/>
          <w:lang w:val="en-US" w:eastAsia="zh-CN"/>
        </w:rPr>
        <w:t>响应或优于</w:t>
      </w:r>
      <w:r>
        <w:rPr>
          <w:rFonts w:hint="eastAsia" w:ascii="宋体" w:hAnsi="宋体" w:cs="宋体"/>
          <w:color w:val="auto"/>
          <w:szCs w:val="21"/>
          <w:highlight w:val="none"/>
        </w:rPr>
        <w:t>招标文件的相关要求。</w:t>
      </w:r>
    </w:p>
    <w:p w14:paraId="50220D8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单位负责人为同一人或者存在直接控股、管理关系的不同投标人，不得参加同一合同项下的政府采购活动。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7BBE4780">
      <w:pPr>
        <w:spacing w:line="44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 投标人被视为充分熟悉本招标项目所在地的与履行合同有关的各种情况，包括但不限于：</w:t>
      </w:r>
    </w:p>
    <w:p w14:paraId="3DCA8395">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5AE652D">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544402F9">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4F80E724">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709FD34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jc w:val="center"/>
        <w:rPr>
          <w:rFonts w:hint="eastAsia" w:ascii="宋体" w:hAnsi="宋体" w:cs="宋体"/>
          <w:b/>
          <w:color w:val="auto"/>
          <w:sz w:val="28"/>
          <w:szCs w:val="28"/>
          <w:highlight w:val="none"/>
        </w:rPr>
      </w:pPr>
      <w:bookmarkStart w:id="40" w:name="_Toc449028868"/>
      <w:r>
        <w:rPr>
          <w:rFonts w:hint="eastAsia" w:ascii="宋体" w:hAnsi="宋体" w:cs="宋体"/>
          <w:b/>
          <w:color w:val="auto"/>
          <w:sz w:val="28"/>
          <w:szCs w:val="28"/>
          <w:highlight w:val="none"/>
        </w:rPr>
        <w:t>（二）</w:t>
      </w:r>
      <w:bookmarkEnd w:id="40"/>
      <w:r>
        <w:rPr>
          <w:rFonts w:hint="eastAsia" w:ascii="宋体" w:hAnsi="宋体" w:cs="宋体"/>
          <w:b/>
          <w:color w:val="auto"/>
          <w:sz w:val="28"/>
          <w:szCs w:val="28"/>
          <w:highlight w:val="none"/>
        </w:rPr>
        <w:t>招标文件</w:t>
      </w:r>
    </w:p>
    <w:p w14:paraId="22B409E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spacing w:line="440" w:lineRule="exact"/>
        <w:ind w:firstLine="420" w:firstLineChars="200"/>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C7325F0">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  合同格式</w:t>
      </w:r>
    </w:p>
    <w:p w14:paraId="29C022FF">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投标文件格式</w:t>
      </w:r>
    </w:p>
    <w:p w14:paraId="0E9C480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将在安徽省琅琊山旅游发展有限公司（https://www.lysfjq.cn/）、滁州市城投工程咨询管理有限公司（https://www.czctgczx.com/）等网站以更正公告形式予以公布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w:t>
      </w:r>
      <w:r>
        <w:rPr>
          <w:rFonts w:hint="eastAsia" w:ascii="宋体" w:hAnsi="宋体" w:cs="宋体"/>
          <w:color w:val="auto"/>
          <w:szCs w:val="21"/>
          <w:highlight w:val="none"/>
          <w:lang w:val="en-US" w:eastAsia="zh-CN"/>
        </w:rPr>
        <w:t>在安徽省琅琊山旅游发展有限公司（https://www.lysfjq.cn/）、滁州市城投工程咨询管理有限公司（https://www.czctgczx.com/）等网站</w:t>
      </w:r>
      <w:r>
        <w:rPr>
          <w:rFonts w:hint="eastAsia" w:ascii="宋体" w:hAnsi="宋体" w:cs="宋体"/>
          <w:color w:val="auto"/>
          <w:szCs w:val="21"/>
          <w:highlight w:val="none"/>
        </w:rPr>
        <w:t>以更正公告形式</w:t>
      </w:r>
      <w:r>
        <w:rPr>
          <w:rFonts w:hint="eastAsia" w:ascii="宋体" w:hAnsi="宋体" w:cs="宋体"/>
          <w:color w:val="auto"/>
          <w:szCs w:val="21"/>
          <w:highlight w:val="none"/>
          <w:lang w:val="en-US" w:eastAsia="zh-CN"/>
        </w:rPr>
        <w:t>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jc w:val="center"/>
        <w:rPr>
          <w:rFonts w:hint="eastAsia" w:ascii="宋体" w:hAnsi="宋体" w:cs="宋体"/>
          <w:b/>
          <w:color w:val="auto"/>
          <w:sz w:val="28"/>
          <w:szCs w:val="28"/>
          <w:highlight w:val="none"/>
        </w:rPr>
      </w:pPr>
      <w:bookmarkStart w:id="41" w:name="_Toc449028869"/>
      <w:r>
        <w:rPr>
          <w:rFonts w:hint="eastAsia" w:ascii="宋体" w:hAnsi="宋体" w:cs="宋体"/>
          <w:b/>
          <w:color w:val="auto"/>
          <w:sz w:val="28"/>
          <w:szCs w:val="28"/>
          <w:highlight w:val="none"/>
        </w:rPr>
        <w:t>（三）投标文件的编制</w:t>
      </w:r>
      <w:bookmarkEnd w:id="41"/>
    </w:p>
    <w:p w14:paraId="65D2CF94">
      <w:pPr>
        <w:spacing w:line="440" w:lineRule="exact"/>
        <w:ind w:firstLine="306" w:firstLineChars="145"/>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spacing w:line="440" w:lineRule="exact"/>
        <w:ind w:left="267" w:leftChars="127" w:firstLine="105" w:firstLineChars="50"/>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spacing w:line="440" w:lineRule="exact"/>
        <w:ind w:firstLine="207" w:firstLineChars="98"/>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70545F5F">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本项目采用费率报价</w:t>
      </w:r>
      <w:r>
        <w:rPr>
          <w:rFonts w:hint="eastAsia" w:ascii="宋体" w:hAnsi="宋体" w:cs="宋体"/>
          <w:color w:val="auto"/>
          <w:szCs w:val="21"/>
          <w:highlight w:val="none"/>
        </w:rPr>
        <w:t>。投标人的报价应含有服务（货物）、利润、税金、政策性文件规定及合同包含的所有风险、责任、义务等，即为完成招标文件要求的服务（货物）内容所包含的一切应有费用，</w:t>
      </w:r>
      <w:r>
        <w:rPr>
          <w:rFonts w:hint="eastAsia" w:ascii="宋体" w:hAnsi="宋体" w:cs="宋体"/>
          <w:color w:val="auto"/>
          <w:szCs w:val="21"/>
          <w:highlight w:val="none"/>
          <w:lang w:val="en-US" w:eastAsia="zh-CN"/>
        </w:rPr>
        <w:t>中标费率</w:t>
      </w:r>
      <w:r>
        <w:rPr>
          <w:rFonts w:hint="eastAsia" w:ascii="宋体" w:hAnsi="宋体" w:cs="宋体"/>
          <w:color w:val="auto"/>
          <w:szCs w:val="21"/>
          <w:highlight w:val="none"/>
        </w:rPr>
        <w:t>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自行考虑投标风险。</w:t>
      </w:r>
    </w:p>
    <w:p w14:paraId="4B56881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投标人只允许有一个方案、一个报价。</w:t>
      </w:r>
    </w:p>
    <w:p w14:paraId="56263A2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投标报价应由法定代表人或被授权人签署。</w:t>
      </w:r>
    </w:p>
    <w:p w14:paraId="082C64E4">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4</w:t>
      </w:r>
      <w:r>
        <w:rPr>
          <w:rFonts w:hint="eastAsia" w:ascii="宋体"/>
          <w:bCs/>
          <w:color w:val="auto"/>
          <w:szCs w:val="21"/>
          <w:highlight w:val="none"/>
        </w:rPr>
        <w:t>投标人的报价不得高于本次招标最高限价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7AC7708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总投标价中不得包含招标文件要求以外的内容，否则，在评标时不予核减，但在授予合同时，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有权将这部分价格从其中标价格中扣除。</w:t>
      </w:r>
    </w:p>
    <w:p w14:paraId="31EE4337">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spacing w:line="440" w:lineRule="exact"/>
        <w:ind w:firstLine="405" w:firstLineChars="192"/>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jc w:val="center"/>
        <w:rPr>
          <w:rFonts w:hint="eastAsia" w:ascii="宋体" w:hAnsi="宋体" w:eastAsia="宋体" w:cs="宋体"/>
          <w:b/>
          <w:color w:val="auto"/>
          <w:sz w:val="28"/>
          <w:szCs w:val="28"/>
          <w:highlight w:val="none"/>
        </w:rPr>
      </w:pPr>
      <w:bookmarkStart w:id="42" w:name="_Toc449028870"/>
      <w:r>
        <w:rPr>
          <w:rFonts w:hint="eastAsia" w:ascii="宋体" w:hAnsi="宋体" w:eastAsia="宋体" w:cs="宋体"/>
          <w:b/>
          <w:color w:val="auto"/>
          <w:sz w:val="28"/>
          <w:szCs w:val="28"/>
          <w:highlight w:val="none"/>
        </w:rPr>
        <w:t>（四）投标文件的递交</w:t>
      </w:r>
      <w:bookmarkEnd w:id="42"/>
    </w:p>
    <w:p w14:paraId="651B01A6">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24.投标文件的份数和签署</w:t>
      </w:r>
    </w:p>
    <w:p w14:paraId="1CCF219C">
      <w:pPr>
        <w:spacing w:line="440" w:lineRule="exact"/>
        <w:ind w:firstLine="420" w:firstLineChars="200"/>
        <w:rPr>
          <w:rFonts w:hint="eastAsia" w:ascii="宋体" w:hAnsi="宋体" w:cs="宋体"/>
          <w:color w:val="auto"/>
          <w:szCs w:val="21"/>
          <w:highlight w:val="none"/>
        </w:rPr>
      </w:pPr>
      <w:bookmarkStart w:id="43"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spacing w:line="44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spacing w:line="440" w:lineRule="exact"/>
        <w:ind w:firstLine="310" w:firstLineChars="148"/>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spacing w:line="440" w:lineRule="exact"/>
        <w:ind w:firstLine="314" w:firstLineChars="149"/>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spacing w:line="440" w:lineRule="exact"/>
        <w:ind w:firstLine="310" w:firstLineChars="148"/>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43"/>
    </w:p>
    <w:p w14:paraId="1D9DFDEC">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27.开标</w:t>
      </w:r>
    </w:p>
    <w:p w14:paraId="3B1ADD3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463FECB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按招标公告中的开标时间和地点公开开标，并邀请所有投标人参加。</w:t>
      </w:r>
    </w:p>
    <w:p w14:paraId="7E09DECC">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5516DCCD">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highlight w:val="none"/>
          <w:lang w:eastAsia="zh-CN"/>
        </w:rPr>
        <w:t>招标人</w:t>
      </w:r>
      <w:r>
        <w:rPr>
          <w:rFonts w:hint="eastAsia" w:ascii="宋体" w:hAnsi="宋体" w:cs="宋体"/>
          <w:color w:val="auto"/>
          <w:highlight w:val="none"/>
        </w:rPr>
        <w:t>可以邀请相关监管部门参加</w:t>
      </w:r>
      <w:r>
        <w:rPr>
          <w:rFonts w:hint="eastAsia" w:ascii="宋体" w:hAnsi="宋体" w:cs="宋体"/>
          <w:color w:val="auto"/>
          <w:szCs w:val="21"/>
          <w:highlight w:val="none"/>
        </w:rPr>
        <w:t>。</w:t>
      </w:r>
    </w:p>
    <w:p w14:paraId="0062CDD2">
      <w:pPr>
        <w:adjustRightInd w:val="0"/>
        <w:snapToGrid w:val="0"/>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1B09DAD5">
      <w:pPr>
        <w:spacing w:line="440" w:lineRule="exact"/>
        <w:ind w:right="-155" w:rightChars="-74"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856B94A">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26C3C7B9">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2A0037D5">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3BE49EB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5959A4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A4D3C4C">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5146B014">
      <w:pPr>
        <w:spacing w:line="440" w:lineRule="exact"/>
        <w:ind w:right="-155" w:rightChars="-74"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 xml:space="preserve"> 27.4开标疑义</w:t>
      </w:r>
    </w:p>
    <w:p w14:paraId="44028A3B">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投标人代表对开标过程和开标记录有疑义，以及认为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w:t>
      </w:r>
    </w:p>
    <w:p w14:paraId="7D67594E">
      <w:pPr>
        <w:spacing w:line="440" w:lineRule="exact"/>
        <w:ind w:firstLine="421"/>
        <w:jc w:val="left"/>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13810358">
      <w:pPr>
        <w:spacing w:line="420" w:lineRule="exact"/>
        <w:ind w:firstLine="420" w:firstLineChars="200"/>
        <w:jc w:val="left"/>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7606EF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DB4ABE1">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B1484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EF40F9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3CE528A">
      <w:pPr>
        <w:spacing w:line="42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8EA1690">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spacing w:line="420" w:lineRule="exact"/>
        <w:ind w:firstLine="421"/>
        <w:jc w:val="left"/>
        <w:rPr>
          <w:rFonts w:hint="eastAsia" w:ascii="宋体"/>
          <w:b/>
          <w:color w:val="auto"/>
          <w:szCs w:val="21"/>
          <w:highlight w:val="none"/>
        </w:rPr>
      </w:pPr>
      <w:bookmarkStart w:id="44" w:name="_Toc449028873"/>
      <w:r>
        <w:rPr>
          <w:rFonts w:hint="eastAsia" w:ascii="宋体"/>
          <w:b/>
          <w:color w:val="auto"/>
          <w:szCs w:val="21"/>
          <w:highlight w:val="none"/>
          <w:lang w:val="en-US" w:eastAsia="zh-CN"/>
        </w:rPr>
        <w:t>29</w:t>
      </w:r>
      <w:r>
        <w:rPr>
          <w:rFonts w:hint="eastAsia" w:ascii="宋体"/>
          <w:b/>
          <w:color w:val="auto"/>
          <w:szCs w:val="21"/>
          <w:highlight w:val="none"/>
        </w:rPr>
        <w:t>.评标</w:t>
      </w:r>
    </w:p>
    <w:p w14:paraId="20712703">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.2评标完成后，评标委员会应向招标人提交书面评标报告和中标候选人名单。评标委员会推荐中标候选人的人数见投标人须知前附表。</w:t>
      </w:r>
    </w:p>
    <w:p w14:paraId="0C07A47D">
      <w:pPr>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2336DC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.4投标文件的澄清</w:t>
      </w:r>
    </w:p>
    <w:p w14:paraId="6F0C216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的监督下，可要求投标人对投标文件中的有关问题进行澄清或提供补充说明及有关资料，投标人应做出书面答复。</w:t>
      </w:r>
    </w:p>
    <w:p w14:paraId="3AF1449E">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.4.2书面答复须经投标人法定代表人或其委托代理人签字或盖章，签字或盖章的书面答复将被视为投标文件的组成部分。</w:t>
      </w:r>
    </w:p>
    <w:p w14:paraId="4776B253">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57CD62B5">
      <w:pPr>
        <w:spacing w:line="42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5F4FED19">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98CCD7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（2）招标投标当事人对评标结果提出异议或者投诉，</w:t>
      </w:r>
      <w:r>
        <w:rPr>
          <w:rFonts w:hint="eastAsia" w:ascii="宋体"/>
          <w:color w:val="auto"/>
          <w:szCs w:val="21"/>
          <w:highlight w:val="none"/>
          <w:lang w:val="en-US" w:eastAsia="zh-CN"/>
        </w:rPr>
        <w:t>招标人</w:t>
      </w:r>
      <w:r>
        <w:rPr>
          <w:rFonts w:hint="eastAsia" w:ascii="宋体"/>
          <w:color w:val="auto"/>
          <w:szCs w:val="21"/>
          <w:highlight w:val="none"/>
        </w:rPr>
        <w:t>认为需要重新进行评标的，评标委员会成员应当按照</w:t>
      </w:r>
      <w:r>
        <w:rPr>
          <w:rFonts w:hint="eastAsia" w:ascii="宋体"/>
          <w:color w:val="auto"/>
          <w:szCs w:val="21"/>
          <w:highlight w:val="none"/>
          <w:lang w:val="en-US" w:eastAsia="zh-CN"/>
        </w:rPr>
        <w:t>招标人</w:t>
      </w:r>
      <w:r>
        <w:rPr>
          <w:rFonts w:hint="eastAsia" w:ascii="宋体"/>
          <w:color w:val="auto"/>
          <w:szCs w:val="21"/>
          <w:highlight w:val="none"/>
        </w:rPr>
        <w:t>要求重新评标。</w:t>
      </w:r>
    </w:p>
    <w:p w14:paraId="154DB6B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689BF34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2B262BF">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AA03486">
      <w:pPr>
        <w:tabs>
          <w:tab w:val="left" w:pos="720"/>
        </w:tabs>
        <w:spacing w:line="42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lang w:val="en-US" w:eastAsia="zh-CN"/>
        </w:rPr>
        <w:t>29</w:t>
      </w:r>
      <w:r>
        <w:rPr>
          <w:rFonts w:hint="eastAsia" w:ascii="宋体"/>
          <w:color w:val="auto"/>
          <w:szCs w:val="21"/>
          <w:highlight w:val="none"/>
        </w:rPr>
        <w:t>.9评标结果</w:t>
      </w:r>
      <w:r>
        <w:rPr>
          <w:rFonts w:hint="eastAsia" w:ascii="宋体"/>
          <w:color w:val="auto"/>
          <w:szCs w:val="21"/>
          <w:highlight w:val="none"/>
          <w:lang w:val="en-US" w:eastAsia="zh-CN"/>
        </w:rPr>
        <w:t>公示</w:t>
      </w:r>
    </w:p>
    <w:p w14:paraId="7F5EC5AC">
      <w:pPr>
        <w:tabs>
          <w:tab w:val="left" w:pos="720"/>
        </w:tabs>
        <w:spacing w:line="420" w:lineRule="exact"/>
        <w:ind w:right="-313" w:rightChars="-149" w:firstLine="420" w:firstLineChars="200"/>
        <w:jc w:val="left"/>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上予以</w:t>
      </w:r>
      <w:r>
        <w:rPr>
          <w:rFonts w:hint="eastAsia" w:ascii="宋体"/>
          <w:color w:val="auto"/>
          <w:szCs w:val="21"/>
          <w:highlight w:val="none"/>
          <w:lang w:val="en-US" w:eastAsia="zh-CN"/>
        </w:rPr>
        <w:t>公示</w:t>
      </w:r>
      <w:r>
        <w:rPr>
          <w:rFonts w:hint="eastAsia" w:ascii="宋体"/>
          <w:color w:val="auto"/>
          <w:szCs w:val="21"/>
          <w:highlight w:val="none"/>
        </w:rPr>
        <w:t>，</w:t>
      </w:r>
      <w:r>
        <w:rPr>
          <w:rFonts w:hint="eastAsia" w:ascii="宋体"/>
          <w:color w:val="auto"/>
          <w:szCs w:val="21"/>
          <w:highlight w:val="none"/>
          <w:lang w:val="en-US" w:eastAsia="zh-CN"/>
        </w:rPr>
        <w:t>公示</w:t>
      </w:r>
      <w:r>
        <w:rPr>
          <w:rFonts w:hint="eastAsia" w:ascii="宋体"/>
          <w:color w:val="auto"/>
          <w:szCs w:val="21"/>
          <w:highlight w:val="none"/>
        </w:rPr>
        <w:t>期为3日。投标人或其他利害关系人对评标结果有异议的，应在中标候选人公示期内提出。招标人将在收到异议之日起</w:t>
      </w:r>
      <w:r>
        <w:rPr>
          <w:rFonts w:hint="eastAsia" w:ascii="宋体"/>
          <w:color w:val="auto"/>
          <w:szCs w:val="21"/>
          <w:highlight w:val="none"/>
          <w:lang w:val="en-US" w:eastAsia="zh-CN"/>
        </w:rPr>
        <w:t>3</w:t>
      </w:r>
      <w:r>
        <w:rPr>
          <w:rFonts w:hint="eastAsia" w:ascii="宋体"/>
          <w:color w:val="auto"/>
          <w:szCs w:val="21"/>
          <w:highlight w:val="none"/>
        </w:rPr>
        <w:t>日内作出答复；作出答复前，将暂停招标投标活动。</w:t>
      </w:r>
    </w:p>
    <w:p w14:paraId="1285831F">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0</w:t>
      </w:r>
      <w:r>
        <w:rPr>
          <w:rFonts w:hint="eastAsia" w:ascii="宋体"/>
          <w:b/>
          <w:color w:val="auto"/>
          <w:szCs w:val="21"/>
          <w:highlight w:val="none"/>
        </w:rPr>
        <w:t>.定标</w:t>
      </w:r>
    </w:p>
    <w:p w14:paraId="485F0B1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 中标人的确定</w:t>
      </w:r>
    </w:p>
    <w:p w14:paraId="0D8141F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.1.1招标人确定</w:t>
      </w:r>
      <w:r>
        <w:rPr>
          <w:rFonts w:hint="eastAsia" w:ascii="宋体"/>
          <w:color w:val="auto"/>
          <w:szCs w:val="21"/>
          <w:highlight w:val="none"/>
          <w:lang w:val="en-US" w:eastAsia="zh-CN"/>
        </w:rPr>
        <w:t>排名第一的中标候选人为</w:t>
      </w:r>
      <w:r>
        <w:rPr>
          <w:rFonts w:hint="eastAsia" w:ascii="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.1.2中标人确定后，招标人应将中标信息在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上公告。</w:t>
      </w:r>
    </w:p>
    <w:p w14:paraId="36630B2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 中标通知书</w:t>
      </w:r>
    </w:p>
    <w:p w14:paraId="20C30054">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.2.1招标人或代理机构应在中标人确定之日起2个工作日内，在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公告中标结果并同时向中标人发出中标通知书。</w:t>
      </w:r>
    </w:p>
    <w:p w14:paraId="3FEA5E8A">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.2.2中标通知书须加盖招标人、代理机构公章后，方可发出。</w:t>
      </w:r>
    </w:p>
    <w:p w14:paraId="27F2400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.2.3招标人将在发出中标通知书的同时，向未通过资格审查的投标人告知其未通过的原因。</w:t>
      </w:r>
    </w:p>
    <w:p w14:paraId="06B4880B">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1</w:t>
      </w:r>
      <w:r>
        <w:rPr>
          <w:rFonts w:hint="eastAsia" w:ascii="宋体"/>
          <w:b/>
          <w:color w:val="auto"/>
          <w:szCs w:val="21"/>
          <w:highlight w:val="none"/>
        </w:rPr>
        <w:t>.开评标异常情况处理</w:t>
      </w:r>
    </w:p>
    <w:p w14:paraId="21213BD7">
      <w:pPr>
        <w:spacing w:line="420" w:lineRule="exact"/>
        <w:ind w:firstLine="421"/>
        <w:jc w:val="left"/>
        <w:rPr>
          <w:rFonts w:hint="eastAsia" w:ascii="宋体"/>
          <w:b/>
          <w:bCs/>
          <w:color w:val="auto"/>
          <w:szCs w:val="21"/>
          <w:highlight w:val="none"/>
        </w:rPr>
      </w:pPr>
      <w:r>
        <w:rPr>
          <w:rFonts w:hint="eastAsia" w:ascii="宋体"/>
          <w:b/>
          <w:bCs/>
          <w:color w:val="auto"/>
          <w:kern w:val="10"/>
          <w:szCs w:val="21"/>
          <w:highlight w:val="none"/>
        </w:rPr>
        <w:t>3</w:t>
      </w:r>
      <w:r>
        <w:rPr>
          <w:rFonts w:hint="eastAsia" w:ascii="宋体"/>
          <w:b/>
          <w:bCs/>
          <w:color w:val="auto"/>
          <w:kern w:val="10"/>
          <w:szCs w:val="21"/>
          <w:highlight w:val="none"/>
          <w:lang w:val="en-US" w:eastAsia="zh-CN"/>
        </w:rPr>
        <w:t>1</w:t>
      </w:r>
      <w:r>
        <w:rPr>
          <w:rFonts w:hint="eastAsia" w:ascii="宋体"/>
          <w:b/>
          <w:bCs/>
          <w:color w:val="auto"/>
          <w:kern w:val="10"/>
          <w:szCs w:val="21"/>
          <w:highlight w:val="none"/>
        </w:rPr>
        <w:t>.1</w:t>
      </w:r>
      <w:r>
        <w:rPr>
          <w:rFonts w:hint="eastAsia" w:ascii="宋体"/>
          <w:b/>
          <w:bCs/>
          <w:color w:val="auto"/>
          <w:szCs w:val="21"/>
          <w:highlight w:val="none"/>
        </w:rPr>
        <w:t xml:space="preserve">重新招标 </w:t>
      </w:r>
    </w:p>
    <w:p w14:paraId="31A5D01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项目有下列情形之一的，招标人将重新招标：</w:t>
      </w:r>
    </w:p>
    <w:p w14:paraId="61AA2F3A">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04C25708">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5B0F175">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1EA8BFE1">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47198F9">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191876E3">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4"/>
    </w:p>
    <w:p w14:paraId="4884662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adjustRightInd w:val="0"/>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spacing w:line="440" w:lineRule="exact"/>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5" w:name="_Toc217446068"/>
      <w:r>
        <w:rPr>
          <w:rFonts w:hint="eastAsia" w:ascii="宋体" w:hAnsi="宋体" w:cs="宋体"/>
          <w:b/>
          <w:color w:val="auto"/>
          <w:szCs w:val="21"/>
          <w:highlight w:val="none"/>
        </w:rPr>
        <w:t>履约保证金</w:t>
      </w:r>
      <w:bookmarkEnd w:id="45"/>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jc w:val="center"/>
        <w:rPr>
          <w:rFonts w:hint="eastAsia" w:ascii="宋体" w:hAnsi="宋体" w:eastAsia="宋体" w:cs="宋体"/>
          <w:b/>
          <w:color w:val="auto"/>
          <w:sz w:val="28"/>
          <w:szCs w:val="28"/>
          <w:highlight w:val="none"/>
        </w:rPr>
      </w:pPr>
      <w:bookmarkStart w:id="46" w:name="_Toc449028874"/>
      <w:r>
        <w:rPr>
          <w:rFonts w:hint="eastAsia" w:ascii="宋体" w:hAnsi="宋体" w:eastAsia="宋体" w:cs="宋体"/>
          <w:b/>
          <w:color w:val="auto"/>
          <w:sz w:val="28"/>
          <w:szCs w:val="28"/>
          <w:highlight w:val="none"/>
        </w:rPr>
        <w:t>（七）纪律和监督</w:t>
      </w:r>
      <w:bookmarkEnd w:id="46"/>
    </w:p>
    <w:p w14:paraId="5090B799">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jc w:val="center"/>
        <w:rPr>
          <w:rFonts w:hint="eastAsia" w:ascii="宋体" w:hAnsi="宋体" w:eastAsia="宋体" w:cs="宋体"/>
          <w:b/>
          <w:color w:val="auto"/>
          <w:sz w:val="28"/>
          <w:szCs w:val="28"/>
          <w:highlight w:val="none"/>
          <w:lang w:eastAsia="zh-CN"/>
        </w:rPr>
      </w:pPr>
      <w:bookmarkStart w:id="47" w:name="_Toc449028875"/>
      <w:r>
        <w:rPr>
          <w:rFonts w:hint="eastAsia" w:ascii="宋体" w:hAnsi="宋体" w:eastAsia="宋体" w:cs="宋体"/>
          <w:b/>
          <w:color w:val="auto"/>
          <w:sz w:val="28"/>
          <w:szCs w:val="28"/>
          <w:highlight w:val="none"/>
        </w:rPr>
        <w:t>（八）</w:t>
      </w:r>
      <w:bookmarkEnd w:id="47"/>
      <w:r>
        <w:rPr>
          <w:rFonts w:hint="eastAsia" w:ascii="宋体" w:hAnsi="宋体" w:cs="宋体"/>
          <w:b/>
          <w:color w:val="auto"/>
          <w:sz w:val="28"/>
          <w:szCs w:val="28"/>
          <w:highlight w:val="none"/>
          <w:lang w:val="en-US" w:eastAsia="zh-CN"/>
        </w:rPr>
        <w:t>投诉</w:t>
      </w:r>
    </w:p>
    <w:p w14:paraId="539744AE">
      <w:pPr>
        <w:spacing w:line="440" w:lineRule="exact"/>
        <w:ind w:firstLine="314" w:firstLineChars="149"/>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48" w:name="_Toc161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评标办法</w:t>
      </w:r>
      <w:bookmarkEnd w:id="48"/>
    </w:p>
    <w:p w14:paraId="77B91577">
      <w:pPr>
        <w:spacing w:before="156" w:beforeLines="50" w:after="156" w:afterLines="50" w:line="440" w:lineRule="exact"/>
        <w:jc w:val="center"/>
        <w:outlineLvl w:val="1"/>
        <w:rPr>
          <w:rFonts w:hint="eastAsia" w:ascii="宋体"/>
          <w:b/>
          <w:color w:val="auto"/>
          <w:sz w:val="28"/>
          <w:szCs w:val="28"/>
          <w:highlight w:val="none"/>
        </w:rPr>
      </w:pPr>
      <w:bookmarkStart w:id="49" w:name="_Toc27510"/>
      <w:bookmarkStart w:id="50" w:name="_Toc449028877"/>
      <w:bookmarkStart w:id="51" w:name="_Toc362983801"/>
      <w:bookmarkStart w:id="52" w:name="_Toc58430317"/>
      <w:bookmarkStart w:id="53" w:name="_Toc267320058"/>
      <w:bookmarkStart w:id="54" w:name="_Toc363135205"/>
      <w:r>
        <w:rPr>
          <w:rFonts w:hint="eastAsia" w:ascii="宋体"/>
          <w:b/>
          <w:color w:val="auto"/>
          <w:sz w:val="28"/>
          <w:szCs w:val="28"/>
          <w:highlight w:val="none"/>
        </w:rPr>
        <w:t>一、总则</w:t>
      </w:r>
      <w:bookmarkEnd w:id="49"/>
      <w:bookmarkEnd w:id="50"/>
      <w:bookmarkEnd w:id="51"/>
      <w:bookmarkEnd w:id="52"/>
    </w:p>
    <w:p w14:paraId="4DA06D06">
      <w:pPr>
        <w:spacing w:line="440" w:lineRule="exact"/>
        <w:ind w:firstLine="316" w:firstLineChars="150"/>
        <w:jc w:val="left"/>
        <w:rPr>
          <w:rFonts w:hint="eastAsia" w:ascii="宋体"/>
          <w:b/>
          <w:color w:val="auto"/>
          <w:szCs w:val="21"/>
          <w:highlight w:val="none"/>
        </w:rPr>
      </w:pPr>
      <w:bookmarkStart w:id="55" w:name="_Toc362983802"/>
      <w:bookmarkStart w:id="56" w:name="_Toc58430318"/>
      <w:bookmarkStart w:id="57" w:name="_Toc449028878"/>
      <w:r>
        <w:rPr>
          <w:rFonts w:hint="eastAsia" w:ascii="宋体"/>
          <w:b/>
          <w:color w:val="auto"/>
          <w:szCs w:val="21"/>
          <w:highlight w:val="none"/>
        </w:rPr>
        <w:t xml:space="preserve"> 1. 本次评标采用综合评</w:t>
      </w:r>
      <w:r>
        <w:rPr>
          <w:rFonts w:hint="eastAsia" w:ascii="宋体"/>
          <w:b/>
          <w:color w:val="auto"/>
          <w:szCs w:val="21"/>
          <w:highlight w:val="none"/>
          <w:lang w:val="en-US" w:eastAsia="zh-CN"/>
        </w:rPr>
        <w:t>估</w:t>
      </w:r>
      <w:r>
        <w:rPr>
          <w:rFonts w:hint="eastAsia" w:ascii="宋体"/>
          <w:b/>
          <w:color w:val="auto"/>
          <w:szCs w:val="21"/>
          <w:highlight w:val="none"/>
        </w:rPr>
        <w:t>法</w:t>
      </w:r>
    </w:p>
    <w:p w14:paraId="0594B1C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1.1综合评估法，评标委员会按照本章规定的评分标准进行打分，</w:t>
      </w:r>
      <w:r>
        <w:rPr>
          <w:rFonts w:hint="eastAsia" w:ascii="宋体"/>
          <w:b/>
          <w:bCs/>
          <w:color w:val="auto"/>
          <w:szCs w:val="21"/>
          <w:highlight w:val="none"/>
        </w:rPr>
        <w:t>并按总得分由高到低顺序推荐</w:t>
      </w:r>
      <w:r>
        <w:rPr>
          <w:rFonts w:hint="eastAsia" w:ascii="宋体"/>
          <w:b/>
          <w:bCs/>
          <w:color w:val="auto"/>
          <w:szCs w:val="21"/>
          <w:highlight w:val="none"/>
          <w:lang w:val="en-US" w:eastAsia="zh-CN"/>
        </w:rPr>
        <w:t>3</w:t>
      </w:r>
      <w:r>
        <w:rPr>
          <w:rFonts w:hint="eastAsia" w:ascii="宋体"/>
          <w:b/>
          <w:bCs/>
          <w:color w:val="auto"/>
          <w:szCs w:val="21"/>
          <w:highlight w:val="none"/>
        </w:rPr>
        <w:t>名中标候选人，并标明排序，但投标报价低于其成本的除外</w:t>
      </w:r>
      <w:r>
        <w:rPr>
          <w:rFonts w:hint="eastAsia" w:ascii="宋体"/>
          <w:color w:val="auto"/>
          <w:szCs w:val="21"/>
          <w:highlight w:val="none"/>
        </w:rPr>
        <w:t>。得分最高的为第一中标候选人，第二高的为第二中标候选人。</w:t>
      </w:r>
      <w:r>
        <w:rPr>
          <w:rFonts w:hint="eastAsia" w:ascii="宋体"/>
          <w:b/>
          <w:bCs/>
          <w:color w:val="auto"/>
          <w:szCs w:val="21"/>
          <w:highlight w:val="none"/>
        </w:rPr>
        <w:t>如总得分相等，以投标报价低的优先，投标报价仍相等，由评标委员会或招标人随机抽取确定排名，不得并列。</w:t>
      </w:r>
    </w:p>
    <w:p w14:paraId="7C53964E">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1189376D">
      <w:pPr>
        <w:spacing w:line="440" w:lineRule="exact"/>
        <w:ind w:firstLine="422" w:firstLineChars="200"/>
        <w:jc w:val="left"/>
        <w:rPr>
          <w:rFonts w:hint="eastAsia" w:ascii="宋体"/>
          <w:color w:val="auto"/>
          <w:szCs w:val="21"/>
          <w:highlight w:val="none"/>
        </w:rPr>
      </w:pPr>
      <w:r>
        <w:rPr>
          <w:rFonts w:hint="eastAsia" w:ascii="宋体"/>
          <w:b/>
          <w:bCs/>
          <w:color w:val="auto"/>
          <w:szCs w:val="21"/>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名的投标人投标文件进行评审并确定中标候选人。若排序前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名的投标人投标文件评审不通过，则按得分排序递补至</w:t>
      </w:r>
      <w:r>
        <w:rPr>
          <w:rFonts w:hint="eastAsia" w:ascii="宋体"/>
          <w:b/>
          <w:bCs/>
          <w:color w:val="auto"/>
          <w:szCs w:val="21"/>
          <w:highlight w:val="none"/>
          <w:lang w:val="en-US" w:eastAsia="zh-CN"/>
        </w:rPr>
        <w:t>3</w:t>
      </w:r>
      <w:r>
        <w:rPr>
          <w:rFonts w:hint="eastAsia" w:ascii="宋体"/>
          <w:b/>
          <w:bCs/>
          <w:color w:val="auto"/>
          <w:szCs w:val="21"/>
          <w:highlight w:val="none"/>
        </w:rPr>
        <w:t>家投标人进行投标文件评审。</w:t>
      </w:r>
    </w:p>
    <w:p w14:paraId="26AB7B8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0CD1CC5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5665DDD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5BD721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110BD1D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bookmarkStart w:id="58" w:name="_Toc14664"/>
      <w:r>
        <w:rPr>
          <w:rFonts w:hint="eastAsia" w:ascii="宋体"/>
          <w:b/>
          <w:color w:val="auto"/>
          <w:sz w:val="28"/>
          <w:szCs w:val="28"/>
          <w:highlight w:val="none"/>
        </w:rPr>
        <w:t>二、投标文件初审</w:t>
      </w:r>
      <w:bookmarkEnd w:id="55"/>
      <w:bookmarkEnd w:id="56"/>
      <w:bookmarkEnd w:id="57"/>
      <w:bookmarkEnd w:id="58"/>
    </w:p>
    <w:p w14:paraId="51BB9995">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spacing w:line="440" w:lineRule="exact"/>
        <w:ind w:firstLine="308" w:firstLineChars="147"/>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w:t>
            </w:r>
          </w:p>
        </w:tc>
        <w:tc>
          <w:tcPr>
            <w:tcW w:w="4492" w:type="dxa"/>
            <w:noWrap w:val="0"/>
            <w:vAlign w:val="center"/>
          </w:tcPr>
          <w:p w14:paraId="041A0B6D">
            <w:pPr>
              <w:spacing w:line="440" w:lineRule="exact"/>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spacing w:line="440" w:lineRule="exact"/>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投标人有效的营业执照、税务登记证、组织机构码证（或“三证合一证书”）</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15C6CA6">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67A29F17">
            <w:pPr>
              <w:spacing w:line="5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tc>
        <w:tc>
          <w:tcPr>
            <w:tcW w:w="4492" w:type="dxa"/>
            <w:shd w:val="clear" w:color="auto" w:fill="auto"/>
            <w:noWrap w:val="0"/>
            <w:vAlign w:val="center"/>
          </w:tcPr>
          <w:p w14:paraId="126BB631">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41C2EDC1">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3B6AD357">
            <w:pPr>
              <w:spacing w:line="500" w:lineRule="exact"/>
              <w:jc w:val="left"/>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tc>
        <w:tc>
          <w:tcPr>
            <w:tcW w:w="4492" w:type="dxa"/>
            <w:shd w:val="clear" w:color="auto" w:fill="auto"/>
            <w:noWrap w:val="0"/>
            <w:vAlign w:val="center"/>
          </w:tcPr>
          <w:p w14:paraId="351A35D7">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11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2A7B9C4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EFCE690">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01033BA2">
            <w:pPr>
              <w:spacing w:line="500" w:lineRule="exact"/>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lang w:eastAsia="zh-CN"/>
              </w:rPr>
              <w:t>）投标申请人的法定代表人(或委托代理人)、拟派项目负责人</w:t>
            </w:r>
            <w:r>
              <w:rPr>
                <w:rFonts w:hint="eastAsia" w:ascii="宋体" w:hAnsi="宋体" w:cs="宋体-18030"/>
                <w:color w:val="auto"/>
                <w:szCs w:val="21"/>
                <w:highlight w:val="none"/>
                <w:lang w:val="en-US" w:eastAsia="zh-CN"/>
              </w:rPr>
              <w:t>和项目组人员</w:t>
            </w:r>
            <w:r>
              <w:rPr>
                <w:rFonts w:hint="eastAsia" w:ascii="宋体" w:hAnsi="宋体" w:cs="宋体-18030"/>
                <w:color w:val="auto"/>
                <w:szCs w:val="21"/>
                <w:highlight w:val="none"/>
                <w:lang w:eastAsia="zh-CN"/>
              </w:rPr>
              <w:t>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4492" w:type="dxa"/>
            <w:shd w:val="clear" w:color="auto" w:fill="auto"/>
            <w:noWrap w:val="0"/>
            <w:vAlign w:val="center"/>
          </w:tcPr>
          <w:p w14:paraId="69F0C89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检验投标文件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spacing w:line="440" w:lineRule="exact"/>
              <w:rPr>
                <w:rFonts w:hint="eastAsia" w:ascii="宋体" w:hAnsi="宋体" w:cs="宋体"/>
                <w:color w:val="auto"/>
                <w:szCs w:val="21"/>
                <w:highlight w:val="none"/>
              </w:rPr>
            </w:pPr>
          </w:p>
        </w:tc>
        <w:tc>
          <w:tcPr>
            <w:tcW w:w="3368" w:type="dxa"/>
            <w:noWrap w:val="0"/>
            <w:vAlign w:val="top"/>
          </w:tcPr>
          <w:p w14:paraId="60066964">
            <w:pPr>
              <w:spacing w:line="440" w:lineRule="exac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）诚信投标承诺书</w:t>
            </w:r>
          </w:p>
        </w:tc>
        <w:tc>
          <w:tcPr>
            <w:tcW w:w="4492" w:type="dxa"/>
            <w:noWrap w:val="0"/>
            <w:vAlign w:val="top"/>
          </w:tcPr>
          <w:p w14:paraId="3EDC332C">
            <w:pPr>
              <w:spacing w:line="44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spacing w:line="440" w:lineRule="exact"/>
        <w:ind w:firstLine="508" w:firstLineChars="241"/>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spacing w:line="440" w:lineRule="exact"/>
              <w:rPr>
                <w:rFonts w:hint="eastAsia" w:ascii="宋体" w:hAnsi="宋体" w:cs="宋体"/>
                <w:color w:val="auto"/>
                <w:szCs w:val="21"/>
                <w:highlight w:val="none"/>
              </w:rPr>
            </w:pPr>
          </w:p>
        </w:tc>
        <w:tc>
          <w:tcPr>
            <w:tcW w:w="1204" w:type="dxa"/>
            <w:vMerge w:val="continue"/>
            <w:noWrap w:val="0"/>
            <w:vAlign w:val="center"/>
          </w:tcPr>
          <w:p w14:paraId="14A50888">
            <w:pPr>
              <w:spacing w:line="440" w:lineRule="exact"/>
              <w:rPr>
                <w:rFonts w:hint="eastAsia" w:ascii="宋体" w:hAnsi="宋体" w:cs="宋体"/>
                <w:color w:val="auto"/>
                <w:szCs w:val="21"/>
                <w:highlight w:val="none"/>
              </w:rPr>
            </w:pPr>
          </w:p>
        </w:tc>
        <w:tc>
          <w:tcPr>
            <w:tcW w:w="2931" w:type="dxa"/>
            <w:noWrap w:val="0"/>
            <w:vAlign w:val="center"/>
          </w:tcPr>
          <w:p w14:paraId="0999086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spacing w:line="440" w:lineRule="exact"/>
              <w:rPr>
                <w:rFonts w:hint="eastAsia" w:ascii="宋体" w:hAnsi="宋体" w:cs="宋体"/>
                <w:color w:val="auto"/>
                <w:szCs w:val="21"/>
                <w:highlight w:val="none"/>
              </w:rPr>
            </w:pPr>
          </w:p>
        </w:tc>
        <w:tc>
          <w:tcPr>
            <w:tcW w:w="1204" w:type="dxa"/>
            <w:vMerge w:val="continue"/>
            <w:noWrap w:val="0"/>
            <w:vAlign w:val="center"/>
          </w:tcPr>
          <w:p w14:paraId="06E85D35">
            <w:pPr>
              <w:spacing w:line="440" w:lineRule="exact"/>
              <w:rPr>
                <w:rFonts w:hint="eastAsia" w:ascii="宋体" w:hAnsi="宋体" w:cs="宋体"/>
                <w:color w:val="auto"/>
                <w:szCs w:val="21"/>
                <w:highlight w:val="none"/>
              </w:rPr>
            </w:pPr>
          </w:p>
        </w:tc>
        <w:tc>
          <w:tcPr>
            <w:tcW w:w="2931" w:type="dxa"/>
            <w:noWrap w:val="0"/>
            <w:vAlign w:val="center"/>
          </w:tcPr>
          <w:p w14:paraId="26DCF9F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spacing w:line="440" w:lineRule="exact"/>
              <w:rPr>
                <w:rFonts w:hint="eastAsia" w:ascii="宋体" w:hAnsi="宋体" w:cs="宋体"/>
                <w:color w:val="auto"/>
                <w:szCs w:val="21"/>
                <w:highlight w:val="none"/>
              </w:rPr>
            </w:pPr>
          </w:p>
        </w:tc>
        <w:tc>
          <w:tcPr>
            <w:tcW w:w="1204" w:type="dxa"/>
            <w:vMerge w:val="continue"/>
            <w:noWrap w:val="0"/>
            <w:vAlign w:val="center"/>
          </w:tcPr>
          <w:p w14:paraId="5F181361">
            <w:pPr>
              <w:spacing w:line="440" w:lineRule="exact"/>
              <w:rPr>
                <w:rFonts w:hint="eastAsia" w:ascii="宋体" w:hAnsi="宋体" w:cs="宋体"/>
                <w:color w:val="auto"/>
                <w:szCs w:val="21"/>
                <w:highlight w:val="none"/>
              </w:rPr>
            </w:pPr>
          </w:p>
        </w:tc>
        <w:tc>
          <w:tcPr>
            <w:tcW w:w="2931" w:type="dxa"/>
            <w:noWrap w:val="0"/>
            <w:vAlign w:val="center"/>
          </w:tcPr>
          <w:p w14:paraId="4F2754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spacing w:line="440" w:lineRule="exact"/>
              <w:rPr>
                <w:rFonts w:hint="eastAsia" w:ascii="宋体" w:hAnsi="宋体" w:cs="宋体"/>
                <w:color w:val="auto"/>
                <w:szCs w:val="21"/>
                <w:highlight w:val="none"/>
              </w:rPr>
            </w:pPr>
          </w:p>
        </w:tc>
        <w:tc>
          <w:tcPr>
            <w:tcW w:w="1204" w:type="dxa"/>
            <w:vMerge w:val="continue"/>
            <w:noWrap w:val="0"/>
            <w:vAlign w:val="center"/>
          </w:tcPr>
          <w:p w14:paraId="6A942C3C">
            <w:pPr>
              <w:spacing w:line="440" w:lineRule="exact"/>
              <w:rPr>
                <w:rFonts w:hint="eastAsia" w:ascii="宋体" w:hAnsi="宋体" w:cs="宋体"/>
                <w:color w:val="auto"/>
                <w:szCs w:val="21"/>
                <w:highlight w:val="none"/>
              </w:rPr>
            </w:pPr>
          </w:p>
        </w:tc>
        <w:tc>
          <w:tcPr>
            <w:tcW w:w="2931" w:type="dxa"/>
            <w:noWrap w:val="0"/>
            <w:vAlign w:val="center"/>
          </w:tcPr>
          <w:p w14:paraId="6F3AA6E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spacing w:line="44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spacing w:line="440" w:lineRule="exact"/>
              <w:rPr>
                <w:rFonts w:hint="eastAsia" w:ascii="宋体" w:hAnsi="宋体" w:cs="宋体"/>
                <w:color w:val="auto"/>
                <w:szCs w:val="21"/>
                <w:highlight w:val="none"/>
              </w:rPr>
            </w:pPr>
          </w:p>
        </w:tc>
        <w:tc>
          <w:tcPr>
            <w:tcW w:w="1204" w:type="dxa"/>
            <w:vMerge w:val="continue"/>
            <w:noWrap w:val="0"/>
            <w:vAlign w:val="center"/>
          </w:tcPr>
          <w:p w14:paraId="6258B2F9">
            <w:pPr>
              <w:spacing w:line="440" w:lineRule="exact"/>
              <w:rPr>
                <w:rFonts w:hint="eastAsia" w:ascii="宋体" w:hAnsi="宋体" w:cs="宋体"/>
                <w:color w:val="auto"/>
                <w:szCs w:val="21"/>
                <w:highlight w:val="none"/>
              </w:rPr>
            </w:pPr>
          </w:p>
        </w:tc>
        <w:tc>
          <w:tcPr>
            <w:tcW w:w="2931" w:type="dxa"/>
            <w:noWrap w:val="0"/>
            <w:vAlign w:val="center"/>
          </w:tcPr>
          <w:p w14:paraId="5998BA8A">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9" w:name="_Toc58430319"/>
      <w:bookmarkStart w:id="60" w:name="_Toc362983803"/>
      <w:bookmarkStart w:id="61" w:name="_Toc449028879"/>
      <w:bookmarkStart w:id="62" w:name="_Toc26240"/>
      <w:r>
        <w:rPr>
          <w:rFonts w:hint="eastAsia" w:ascii="宋体" w:hAnsi="Times New Roman" w:eastAsia="宋体" w:cs="Times New Roman"/>
          <w:b/>
          <w:color w:val="auto"/>
          <w:sz w:val="28"/>
          <w:szCs w:val="28"/>
          <w:highlight w:val="none"/>
        </w:rPr>
        <w:t>三、投标文件的澄清和补正</w:t>
      </w:r>
      <w:bookmarkEnd w:id="59"/>
      <w:bookmarkEnd w:id="60"/>
      <w:bookmarkEnd w:id="61"/>
      <w:bookmarkEnd w:id="62"/>
    </w:p>
    <w:p w14:paraId="3228516B">
      <w:pPr>
        <w:spacing w:line="440" w:lineRule="exact"/>
        <w:ind w:firstLine="525" w:firstLineChars="250"/>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spacing w:line="440" w:lineRule="exact"/>
        <w:ind w:firstLine="525" w:firstLineChars="250"/>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spacing w:line="440" w:lineRule="exact"/>
        <w:ind w:firstLine="525" w:firstLineChars="250"/>
        <w:rPr>
          <w:rFonts w:hint="eastAsia" w:ascii="宋体"/>
          <w:color w:val="auto"/>
          <w:szCs w:val="21"/>
          <w:highlight w:val="none"/>
        </w:rPr>
      </w:pPr>
      <w:r>
        <w:rPr>
          <w:rFonts w:hint="eastAsia" w:ascii="宋体"/>
          <w:color w:val="auto"/>
          <w:szCs w:val="21"/>
          <w:highlight w:val="none"/>
        </w:rPr>
        <w:t>5.3评委会修正错误的原则：</w:t>
      </w:r>
    </w:p>
    <w:p w14:paraId="4125A76F">
      <w:pPr>
        <w:spacing w:line="440" w:lineRule="exact"/>
        <w:ind w:firstLine="525" w:firstLineChars="250"/>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spacing w:line="440" w:lineRule="exact"/>
        <w:ind w:firstLine="525" w:firstLineChars="250"/>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spacing w:line="440" w:lineRule="exact"/>
        <w:ind w:firstLine="403" w:firstLineChars="192"/>
        <w:jc w:val="left"/>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63" w:name="_Toc449028880"/>
      <w:bookmarkStart w:id="64" w:name="_Toc58430320"/>
    </w:p>
    <w:p w14:paraId="4E078817">
      <w:pPr>
        <w:jc w:val="center"/>
        <w:outlineLvl w:val="1"/>
        <w:rPr>
          <w:rFonts w:hint="eastAsia" w:ascii="宋体" w:hAnsi="Times New Roman" w:eastAsia="宋体" w:cs="Times New Roman"/>
          <w:b/>
          <w:color w:val="auto"/>
          <w:sz w:val="28"/>
          <w:szCs w:val="28"/>
          <w:highlight w:val="none"/>
        </w:rPr>
      </w:pPr>
      <w:bookmarkStart w:id="65" w:name="_Toc11194"/>
      <w:r>
        <w:rPr>
          <w:rFonts w:hint="eastAsia" w:ascii="宋体" w:hAnsi="Times New Roman" w:eastAsia="宋体" w:cs="Times New Roman"/>
          <w:b/>
          <w:color w:val="auto"/>
          <w:sz w:val="28"/>
          <w:szCs w:val="28"/>
          <w:highlight w:val="none"/>
        </w:rPr>
        <w:t>四、比较与评价</w:t>
      </w:r>
      <w:bookmarkEnd w:id="63"/>
      <w:bookmarkEnd w:id="64"/>
      <w:bookmarkEnd w:id="65"/>
    </w:p>
    <w:p w14:paraId="117055AF">
      <w:pPr>
        <w:spacing w:line="440" w:lineRule="exact"/>
        <w:ind w:right="36" w:rightChars="17" w:firstLine="417" w:firstLineChars="198"/>
        <w:jc w:val="left"/>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66" w:name="_Toc449028881"/>
      <w:bookmarkStart w:id="67"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bookmarkStart w:id="68"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71981CC3">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100分</w:t>
            </w:r>
          </w:p>
        </w:tc>
        <w:tc>
          <w:tcPr>
            <w:tcW w:w="7217" w:type="dxa"/>
            <w:shd w:val="clear" w:color="auto" w:fill="auto"/>
            <w:noWrap/>
            <w:vAlign w:val="center"/>
          </w:tcPr>
          <w:p w14:paraId="041CC98F">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（1）招标人设置投标报价最高限价，各投标人有效报价不得高于最高限价，否则，其投标文件按无效标处理。 </w:t>
            </w:r>
          </w:p>
          <w:p w14:paraId="03771AE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（2）评标基准值=所有有效投标人投标报价的算术平均值（小数点后保留两位小数，小数点后第三位四舍五入）。</w:t>
            </w:r>
          </w:p>
          <w:p w14:paraId="45A58C2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（3）计算报价偏差率</w:t>
            </w:r>
          </w:p>
          <w:p w14:paraId="7E61D74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①偏差率=|（投标报价-评标基准价）/评标基准价|×100%</w:t>
            </w:r>
          </w:p>
          <w:p w14:paraId="0A803E2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（4）计算报价得分</w:t>
            </w:r>
          </w:p>
          <w:p w14:paraId="493CFE82">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①投标报价等于评标基准价的得满分。</w:t>
            </w:r>
          </w:p>
          <w:p w14:paraId="137F8793">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②投标报价高于评标基准价的，投标报价得分=报价满分值-偏差率×100×1</w:t>
            </w:r>
          </w:p>
          <w:p w14:paraId="07056B4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③投标报价低于评标基准价的，投标报价得分=报价满分值-偏差率×100×0.5。</w:t>
            </w:r>
          </w:p>
          <w:p w14:paraId="42A3AD7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注：计算过程中，评标基准值、偏差率、报价得分均保留两位小数，小数点后第三位四舍五入。</w:t>
            </w:r>
          </w:p>
          <w:p w14:paraId="15B7A86C">
            <w:pPr>
              <w:keepNext w:val="0"/>
              <w:keepLines w:val="0"/>
              <w:pageBreakBefore w:val="0"/>
              <w:kinsoku/>
              <w:wordWrap/>
              <w:overflowPunct/>
              <w:topLinePunct w:val="0"/>
              <w:autoSpaceDE/>
              <w:autoSpaceDN/>
              <w:bidi w:val="0"/>
              <w:adjustRightInd/>
              <w:spacing w:line="44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本项分值由评标委员会计算。</w:t>
            </w:r>
          </w:p>
        </w:tc>
      </w:tr>
    </w:tbl>
    <w:p w14:paraId="3800892F">
      <w:pPr>
        <w:jc w:val="center"/>
        <w:outlineLvl w:val="1"/>
        <w:rPr>
          <w:rFonts w:hint="eastAsia" w:ascii="宋体" w:hAnsi="Times New Roman" w:eastAsia="宋体" w:cs="Times New Roman"/>
          <w:b/>
          <w:color w:val="auto"/>
          <w:sz w:val="28"/>
          <w:szCs w:val="28"/>
          <w:highlight w:val="none"/>
        </w:rPr>
      </w:pPr>
      <w:bookmarkStart w:id="69" w:name="_Toc663"/>
      <w:r>
        <w:rPr>
          <w:rFonts w:hint="eastAsia" w:ascii="宋体" w:hAnsi="Times New Roman" w:eastAsia="宋体" w:cs="Times New Roman"/>
          <w:b/>
          <w:color w:val="auto"/>
          <w:sz w:val="28"/>
          <w:szCs w:val="28"/>
          <w:highlight w:val="none"/>
        </w:rPr>
        <w:t>五、推荐中标候选人</w:t>
      </w:r>
      <w:bookmarkEnd w:id="66"/>
      <w:bookmarkEnd w:id="67"/>
      <w:bookmarkEnd w:id="68"/>
      <w:bookmarkEnd w:id="69"/>
    </w:p>
    <w:bookmarkEnd w:id="53"/>
    <w:p w14:paraId="2F62E0BE">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7.评标委员会按照本章规定的评分标准进行打分，并按总得分由高到低顺序推荐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名的投标人投标文件进行评审并确定中标候选人。若排序前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名的投标人投标文件评审不通过，则按得分排序递补至</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家投标人进行投标文件评审。 </w:t>
      </w:r>
    </w:p>
    <w:p w14:paraId="252BC8E5">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snapToGrid w:val="0"/>
        <w:spacing w:line="440" w:lineRule="exact"/>
        <w:ind w:left="0" w:leftChars="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70" w:name="_Hlk61815781"/>
      <w:r>
        <w:rPr>
          <w:rFonts w:hint="eastAsia" w:ascii="宋体" w:hAnsi="宋体" w:cs="宋体"/>
          <w:b/>
          <w:color w:val="auto"/>
          <w:szCs w:val="21"/>
          <w:highlight w:val="none"/>
        </w:rPr>
        <w:t>无效投标条款</w:t>
      </w:r>
    </w:p>
    <w:p w14:paraId="0617F08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snapToGrid w:val="0"/>
        <w:spacing w:line="44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snapToGrid w:val="0"/>
        <w:spacing w:line="44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snapToGrid w:val="0"/>
        <w:spacing w:line="440" w:lineRule="exact"/>
        <w:ind w:left="0" w:leftChars="0" w:firstLine="420" w:firstLineChars="200"/>
        <w:jc w:val="left"/>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文件的计算错误进行修正后，投标人不接受修正的投标报价的。</w:t>
      </w:r>
    </w:p>
    <w:p w14:paraId="2155D06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44942F7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)其它情形，经评标委员会提出按无效投标处理的；</w:t>
      </w:r>
    </w:p>
    <w:p w14:paraId="0D63D24D">
      <w:pPr>
        <w:snapToGrid w:val="0"/>
        <w:spacing w:line="440" w:lineRule="exact"/>
        <w:ind w:left="0" w:leftChars="0" w:firstLine="420" w:firstLineChars="200"/>
        <w:jc w:val="left"/>
        <w:rPr>
          <w:rFonts w:hint="eastAsia" w:ascii="仿宋" w:hAnsi="仿宋" w:eastAsia="仿宋" w:cs="仿宋"/>
          <w:b/>
          <w:bCs/>
          <w:i w:val="0"/>
          <w:iCs w:val="0"/>
          <w:color w:val="auto"/>
          <w:kern w:val="0"/>
          <w:sz w:val="22"/>
          <w:szCs w:val="22"/>
          <w:highlight w:val="none"/>
          <w:u w:val="none"/>
          <w:lang w:val="en-US" w:eastAsia="zh-CN" w:bidi="ar"/>
        </w:rPr>
        <w:sectPr>
          <w:footerReference r:id="rId8" w:type="default"/>
          <w:pgSz w:w="11906" w:h="16838"/>
          <w:pgMar w:top="1440" w:right="1486" w:bottom="1440" w:left="1800" w:header="851" w:footer="992" w:gutter="0"/>
          <w:pgNumType w:fmt="decimal" w:start="3"/>
          <w:cols w:space="720" w:num="1"/>
          <w:docGrid w:type="lines" w:linePitch="312" w:charSpace="0"/>
        </w:sect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54"/>
      <w:bookmarkEnd w:id="70"/>
      <w:bookmarkStart w:id="71" w:name="_Toc58430329"/>
      <w:bookmarkStart w:id="72" w:name="_Toc449028945"/>
    </w:p>
    <w:p w14:paraId="5EAC221E">
      <w:pPr>
        <w:numPr>
          <w:ilvl w:val="0"/>
          <w:numId w:val="0"/>
        </w:numPr>
        <w:spacing w:before="156" w:beforeLines="50" w:after="156" w:afterLines="50"/>
        <w:jc w:val="center"/>
        <w:outlineLvl w:val="0"/>
        <w:rPr>
          <w:rFonts w:hint="eastAsia" w:ascii="宋体"/>
          <w:b/>
          <w:color w:val="auto"/>
          <w:sz w:val="32"/>
          <w:szCs w:val="32"/>
          <w:highlight w:val="none"/>
          <w:lang w:val="en-US" w:eastAsia="zh-CN"/>
        </w:rPr>
      </w:pPr>
      <w:bookmarkStart w:id="73" w:name="_Toc8910"/>
      <w:r>
        <w:rPr>
          <w:rFonts w:hint="eastAsia" w:ascii="宋体"/>
          <w:b/>
          <w:color w:val="auto"/>
          <w:sz w:val="32"/>
          <w:szCs w:val="32"/>
          <w:highlight w:val="none"/>
          <w:lang w:val="en-US" w:eastAsia="zh-CN"/>
        </w:rPr>
        <w:t>第四章  合同格式（参考）</w:t>
      </w:r>
      <w:bookmarkEnd w:id="73"/>
    </w:p>
    <w:p w14:paraId="167358FC">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bookmarkStart w:id="74" w:name="_Toc331685784"/>
      <w:r>
        <w:rPr>
          <w:rFonts w:hint="eastAsia" w:ascii="宋体" w:hAnsi="宋体" w:eastAsia="宋体" w:cs="宋体"/>
          <w:b/>
          <w:bCs w:val="0"/>
          <w:kern w:val="2"/>
          <w:sz w:val="52"/>
          <w:szCs w:val="52"/>
          <w:highlight w:val="none"/>
          <w:lang w:val="en-US" w:eastAsia="zh-CN" w:bidi="ar"/>
        </w:rPr>
        <w:t>委</w:t>
      </w:r>
    </w:p>
    <w:p w14:paraId="38F3E857">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托</w:t>
      </w:r>
    </w:p>
    <w:p w14:paraId="05234428">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协</w:t>
      </w:r>
    </w:p>
    <w:p w14:paraId="4DEB4BFE">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bCs w:val="0"/>
          <w:kern w:val="2"/>
          <w:sz w:val="52"/>
          <w:szCs w:val="52"/>
          <w:highlight w:val="none"/>
        </w:rPr>
      </w:pPr>
      <w:r>
        <w:rPr>
          <w:rFonts w:hint="eastAsia" w:ascii="宋体" w:hAnsi="宋体" w:eastAsia="宋体" w:cs="宋体"/>
          <w:b/>
          <w:bCs w:val="0"/>
          <w:kern w:val="2"/>
          <w:sz w:val="52"/>
          <w:szCs w:val="52"/>
          <w:highlight w:val="none"/>
          <w:lang w:val="en-US" w:eastAsia="zh-CN" w:bidi="ar"/>
        </w:rPr>
        <w:t>议</w:t>
      </w:r>
    </w:p>
    <w:p w14:paraId="79150F4B">
      <w:pPr>
        <w:keepNext w:val="0"/>
        <w:keepLines w:val="0"/>
        <w:widowControl w:val="0"/>
        <w:suppressLineNumbers w:val="0"/>
        <w:spacing w:before="0" w:beforeAutospacing="0" w:after="0" w:afterAutospacing="0"/>
        <w:ind w:left="0" w:right="0"/>
        <w:jc w:val="center"/>
        <w:rPr>
          <w:rFonts w:hint="default" w:ascii="Times New Roman" w:hAnsi="Times New Roman" w:eastAsia="华文中宋" w:cs="Times New Roman"/>
          <w:b/>
          <w:bCs w:val="0"/>
          <w:kern w:val="2"/>
          <w:sz w:val="52"/>
          <w:szCs w:val="52"/>
          <w:highlight w:val="none"/>
        </w:rPr>
      </w:pPr>
      <w:r>
        <w:rPr>
          <w:rFonts w:hint="default" w:ascii="Times New Roman" w:hAnsi="Times New Roman" w:eastAsia="华文中宋" w:cs="Times New Roman"/>
          <w:b/>
          <w:bCs w:val="0"/>
          <w:kern w:val="2"/>
          <w:sz w:val="52"/>
          <w:szCs w:val="52"/>
          <w:highlight w:val="none"/>
          <w:lang w:val="en-US" w:eastAsia="zh-CN" w:bidi="ar"/>
        </w:rPr>
        <w:t xml:space="preserve"> </w:t>
      </w:r>
    </w:p>
    <w:p w14:paraId="59440C5B">
      <w:pPr>
        <w:keepNext w:val="0"/>
        <w:keepLines w:val="0"/>
        <w:widowControl w:val="0"/>
        <w:suppressLineNumbers w:val="0"/>
        <w:spacing w:before="0" w:beforeAutospacing="0" w:after="0" w:afterAutospacing="0" w:line="240" w:lineRule="exact"/>
        <w:ind w:left="0" w:right="0"/>
        <w:jc w:val="both"/>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3DCEF9C4">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13E3926C">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楷体_GB2312" w:cs="Times New Roman"/>
          <w:b/>
          <w:bCs w:val="0"/>
          <w:kern w:val="2"/>
          <w:sz w:val="72"/>
          <w:szCs w:val="72"/>
          <w:highlight w:val="none"/>
        </w:rPr>
      </w:pPr>
      <w:r>
        <w:rPr>
          <w:rFonts w:hint="default" w:ascii="Times New Roman" w:hAnsi="Times New Roman" w:eastAsia="楷体_GB2312" w:cs="Times New Roman"/>
          <w:b/>
          <w:bCs w:val="0"/>
          <w:kern w:val="2"/>
          <w:sz w:val="72"/>
          <w:szCs w:val="72"/>
          <w:highlight w:val="none"/>
          <w:lang w:val="en-US" w:eastAsia="zh-CN" w:bidi="ar"/>
        </w:rPr>
        <w:t xml:space="preserve"> </w:t>
      </w:r>
    </w:p>
    <w:p w14:paraId="45F6F208">
      <w:pPr>
        <w:keepNext w:val="0"/>
        <w:keepLines w:val="0"/>
        <w:widowControl w:val="0"/>
        <w:suppressLineNumbers w:val="0"/>
        <w:spacing w:before="0" w:beforeAutospacing="0" w:after="0" w:afterAutospacing="0" w:line="800" w:lineRule="exact"/>
        <w:ind w:left="0" w:right="0" w:firstLine="944" w:firstLineChars="295"/>
        <w:jc w:val="both"/>
        <w:rPr>
          <w:rFonts w:hint="eastAsia" w:ascii="宋体" w:hAnsi="Times New Roman" w:eastAsia="宋体" w:cs="Times New Roman"/>
          <w:kern w:val="2"/>
          <w:sz w:val="32"/>
          <w:szCs w:val="32"/>
          <w:highlight w:val="none"/>
          <w:u w:val="single"/>
        </w:rPr>
      </w:pPr>
      <w:r>
        <w:rPr>
          <w:rFonts w:hint="eastAsia" w:ascii="仿宋_GB2312" w:hAnsi="宋体" w:eastAsia="仿宋_GB2312" w:cs="仿宋_GB2312"/>
          <w:kern w:val="2"/>
          <w:sz w:val="32"/>
          <w:szCs w:val="32"/>
          <w:highlight w:val="none"/>
          <w:lang w:val="en-US" w:eastAsia="zh-CN" w:bidi="ar"/>
        </w:rPr>
        <w:t>合同编号：</w:t>
      </w:r>
      <w:r>
        <w:rPr>
          <w:rFonts w:hint="eastAsia" w:ascii="宋体" w:hAnsi="宋体" w:eastAsia="宋体" w:cs="Times New Roman"/>
          <w:kern w:val="2"/>
          <w:sz w:val="32"/>
          <w:szCs w:val="32"/>
          <w:highlight w:val="none"/>
          <w:u w:val="single"/>
          <w:lang w:val="en-US" w:eastAsia="zh-CN" w:bidi="ar"/>
        </w:rPr>
        <w:t xml:space="preserve">                                </w:t>
      </w:r>
    </w:p>
    <w:p w14:paraId="60F1E232">
      <w:pPr>
        <w:pStyle w:val="29"/>
        <w:keepNext w:val="0"/>
        <w:keepLines w:val="0"/>
        <w:widowControl w:val="0"/>
        <w:suppressLineNumbers w:val="0"/>
        <w:spacing w:before="0" w:beforeAutospacing="0" w:after="0" w:afterAutospacing="0" w:line="800" w:lineRule="exact"/>
        <w:ind w:left="0" w:leftChars="0" w:right="0" w:firstLine="960" w:firstLineChars="300"/>
        <w:jc w:val="left"/>
        <w:rPr>
          <w:rFonts w:hint="eastAsia" w:ascii="宋体" w:hAnsi="宋体" w:eastAsia="仿宋_GB2312" w:cs="仿宋_GB2312"/>
          <w:spacing w:val="-20"/>
          <w:kern w:val="2"/>
          <w:sz w:val="32"/>
          <w:szCs w:val="32"/>
          <w:highlight w:val="none"/>
          <w:u w:val="single"/>
        </w:rPr>
      </w:pPr>
      <w:r>
        <w:rPr>
          <w:rFonts w:hint="eastAsia" w:ascii="仿宋_GB2312" w:hAnsi="宋体" w:eastAsia="仿宋_GB2312" w:cs="仿宋_GB2312"/>
          <w:kern w:val="2"/>
          <w:sz w:val="32"/>
          <w:szCs w:val="32"/>
          <w:highlight w:val="none"/>
          <w:lang w:val="en-US" w:eastAsia="zh-CN" w:bidi="ar"/>
        </w:rPr>
        <w:t>工程名称：</w:t>
      </w:r>
      <w:r>
        <w:rPr>
          <w:rFonts w:hint="eastAsia" w:ascii="宋体" w:hAnsi="宋体" w:eastAsia="仿宋_GB2312" w:cs="Times New Roman"/>
          <w:kern w:val="2"/>
          <w:sz w:val="32"/>
          <w:szCs w:val="32"/>
          <w:highlight w:val="none"/>
          <w:u w:val="single"/>
          <w:lang w:val="en-US" w:eastAsia="zh-CN" w:bidi="ar"/>
        </w:rPr>
        <w:t xml:space="preserve">    </w:t>
      </w:r>
      <w:r>
        <w:rPr>
          <w:rFonts w:hint="eastAsia" w:ascii="宋体" w:hAnsi="宋体" w:eastAsia="仿宋_GB2312" w:cs="Times New Roman"/>
          <w:spacing w:val="-20"/>
          <w:kern w:val="2"/>
          <w:sz w:val="32"/>
          <w:szCs w:val="32"/>
          <w:highlight w:val="none"/>
          <w:u w:val="single"/>
          <w:lang w:val="en-US" w:eastAsia="zh-CN" w:bidi="ar"/>
        </w:rPr>
        <w:t xml:space="preserve"> </w:t>
      </w:r>
      <w:r>
        <w:rPr>
          <w:rFonts w:hint="eastAsia" w:ascii="宋体" w:hAnsi="宋体" w:eastAsia="仿宋_GB2312" w:cs="仿宋_GB2312"/>
          <w:spacing w:val="-20"/>
          <w:kern w:val="2"/>
          <w:sz w:val="32"/>
          <w:szCs w:val="32"/>
          <w:highlight w:val="none"/>
          <w:u w:val="single"/>
          <w:lang w:val="en-US" w:eastAsia="zh-CN" w:bidi="ar"/>
        </w:rPr>
        <w:t xml:space="preserve">        </w:t>
      </w:r>
    </w:p>
    <w:p w14:paraId="7AF9A490">
      <w:pPr>
        <w:pStyle w:val="29"/>
        <w:keepNext w:val="0"/>
        <w:keepLines w:val="0"/>
        <w:widowControl w:val="0"/>
        <w:suppressLineNumbers w:val="0"/>
        <w:spacing w:before="0" w:beforeAutospacing="0" w:after="0" w:afterAutospacing="0" w:line="800" w:lineRule="exact"/>
        <w:ind w:left="0" w:leftChars="0" w:right="0" w:firstLine="944" w:firstLineChars="295"/>
        <w:jc w:val="both"/>
        <w:rPr>
          <w:rFonts w:hint="eastAsia" w:ascii="宋体" w:hAnsi="Times New Roman" w:eastAsia="仿宋_GB2312" w:cs="仿宋_GB2312"/>
          <w:kern w:val="2"/>
          <w:sz w:val="32"/>
          <w:szCs w:val="32"/>
          <w:highlight w:val="none"/>
        </w:rPr>
      </w:pPr>
      <w:r>
        <w:rPr>
          <w:rFonts w:hint="eastAsia" w:ascii="仿宋_GB2312" w:hAnsi="宋体" w:eastAsia="仿宋_GB2312" w:cs="仿宋_GB2312"/>
          <w:kern w:val="2"/>
          <w:sz w:val="32"/>
          <w:szCs w:val="32"/>
          <w:highlight w:val="none"/>
          <w:lang w:val="en-US" w:eastAsia="zh-CN" w:bidi="ar"/>
        </w:rPr>
        <w:t>项目地点：</w:t>
      </w:r>
      <w:r>
        <w:rPr>
          <w:rFonts w:hint="eastAsia" w:ascii="宋体" w:hAnsi="宋体" w:eastAsia="仿宋_GB2312" w:cs="仿宋_GB2312"/>
          <w:kern w:val="2"/>
          <w:sz w:val="32"/>
          <w:szCs w:val="32"/>
          <w:highlight w:val="none"/>
          <w:u w:val="single"/>
          <w:lang w:val="en-US" w:eastAsia="zh-CN" w:bidi="ar"/>
        </w:rPr>
        <w:t xml:space="preserve"> </w:t>
      </w:r>
      <w:r>
        <w:rPr>
          <w:rFonts w:hint="eastAsia" w:ascii="宋体" w:hAnsi="宋体" w:eastAsia="仿宋_GB2312" w:cs="仿宋_GB2312"/>
          <w:kern w:val="2"/>
          <w:sz w:val="32"/>
          <w:szCs w:val="32"/>
          <w:highlight w:val="none"/>
          <w:lang w:val="en-US" w:eastAsia="zh-CN" w:bidi="ar"/>
        </w:rPr>
        <w:t xml:space="preserve">               </w:t>
      </w:r>
      <w:r>
        <w:rPr>
          <w:rFonts w:hint="eastAsia" w:ascii="宋体" w:hAnsi="宋体" w:eastAsia="仿宋_GB2312" w:cs="仿宋_GB2312"/>
          <w:kern w:val="2"/>
          <w:sz w:val="32"/>
          <w:szCs w:val="32"/>
          <w:highlight w:val="none"/>
          <w:u w:val="single"/>
          <w:lang w:val="en-US" w:eastAsia="zh-CN" w:bidi="ar"/>
        </w:rPr>
        <w:t xml:space="preserve">        </w:t>
      </w:r>
    </w:p>
    <w:p w14:paraId="248C9D5A">
      <w:pPr>
        <w:pStyle w:val="29"/>
        <w:keepNext w:val="0"/>
        <w:keepLines w:val="0"/>
        <w:widowControl w:val="0"/>
        <w:suppressLineNumbers w:val="0"/>
        <w:spacing w:before="0" w:beforeAutospacing="0" w:after="0" w:afterAutospacing="0" w:line="800" w:lineRule="exact"/>
        <w:ind w:left="0" w:leftChars="0" w:right="0" w:firstLine="944" w:firstLineChars="295"/>
        <w:jc w:val="both"/>
        <w:rPr>
          <w:rFonts w:hint="eastAsia" w:ascii="宋体" w:hAnsi="Times New Roman" w:eastAsia="仿宋_GB2312" w:cs="仿宋_GB2312"/>
          <w:kern w:val="2"/>
          <w:sz w:val="32"/>
          <w:szCs w:val="32"/>
          <w:highlight w:val="none"/>
        </w:rPr>
      </w:pPr>
      <w:r>
        <w:rPr>
          <w:rFonts w:hint="eastAsia" w:ascii="仿宋_GB2312" w:hAnsi="宋体" w:eastAsia="仿宋_GB2312" w:cs="仿宋_GB2312"/>
          <w:kern w:val="2"/>
          <w:sz w:val="32"/>
          <w:szCs w:val="32"/>
          <w:highlight w:val="none"/>
          <w:lang w:val="en-US" w:eastAsia="zh-CN" w:bidi="ar"/>
        </w:rPr>
        <w:t>签订时间：</w:t>
      </w:r>
      <w:r>
        <w:rPr>
          <w:rFonts w:hint="eastAsia" w:ascii="宋体" w:hAnsi="宋体" w:eastAsia="仿宋_GB2312" w:cs="仿宋_GB2312"/>
          <w:kern w:val="2"/>
          <w:sz w:val="32"/>
          <w:szCs w:val="32"/>
          <w:highlight w:val="none"/>
          <w:u w:val="single"/>
          <w:lang w:val="en-US" w:eastAsia="zh-CN" w:bidi="ar"/>
        </w:rPr>
        <w:t xml:space="preserve"> </w:t>
      </w:r>
      <w:r>
        <w:rPr>
          <w:rFonts w:hint="eastAsia" w:ascii="宋体" w:hAnsi="宋体" w:eastAsia="宋体" w:cs="宋体"/>
          <w:kern w:val="2"/>
          <w:sz w:val="32"/>
          <w:szCs w:val="32"/>
          <w:highlight w:val="none"/>
          <w:u w:val="single"/>
          <w:lang w:val="en-US" w:eastAsia="zh-CN" w:bidi="ar"/>
        </w:rPr>
        <w:t>2026</w:t>
      </w:r>
      <w:r>
        <w:rPr>
          <w:rFonts w:hint="eastAsia" w:ascii="仿宋_GB2312" w:hAnsi="宋体" w:eastAsia="仿宋_GB2312" w:cs="仿宋_GB2312"/>
          <w:kern w:val="2"/>
          <w:sz w:val="32"/>
          <w:szCs w:val="32"/>
          <w:highlight w:val="none"/>
          <w:lang w:val="en-US" w:eastAsia="zh-CN" w:bidi="ar"/>
        </w:rPr>
        <w:t>年</w:t>
      </w:r>
      <w:r>
        <w:rPr>
          <w:rFonts w:hint="eastAsia" w:ascii="宋体" w:hAnsi="宋体" w:eastAsia="仿宋_GB2312" w:cs="仿宋_GB2312"/>
          <w:kern w:val="2"/>
          <w:sz w:val="32"/>
          <w:szCs w:val="32"/>
          <w:highlight w:val="none"/>
          <w:u w:val="single"/>
          <w:lang w:val="en-US" w:eastAsia="zh-CN" w:bidi="ar"/>
        </w:rPr>
        <w:t xml:space="preserve">       </w:t>
      </w:r>
      <w:r>
        <w:rPr>
          <w:rFonts w:hint="eastAsia" w:ascii="仿宋_GB2312" w:hAnsi="宋体" w:eastAsia="仿宋_GB2312" w:cs="仿宋_GB2312"/>
          <w:kern w:val="2"/>
          <w:sz w:val="32"/>
          <w:szCs w:val="32"/>
          <w:highlight w:val="none"/>
          <w:lang w:val="en-US" w:eastAsia="zh-CN" w:bidi="ar"/>
        </w:rPr>
        <w:t>月</w:t>
      </w:r>
      <w:r>
        <w:rPr>
          <w:rFonts w:hint="eastAsia" w:ascii="宋体" w:hAnsi="宋体" w:eastAsia="仿宋_GB2312" w:cs="仿宋_GB2312"/>
          <w:kern w:val="2"/>
          <w:sz w:val="32"/>
          <w:szCs w:val="32"/>
          <w:highlight w:val="none"/>
          <w:u w:val="single"/>
          <w:lang w:val="en-US" w:eastAsia="zh-CN" w:bidi="ar"/>
        </w:rPr>
        <w:t xml:space="preserve">      </w:t>
      </w:r>
      <w:r>
        <w:rPr>
          <w:rFonts w:hint="eastAsia" w:ascii="仿宋_GB2312" w:hAnsi="宋体" w:eastAsia="仿宋_GB2312" w:cs="仿宋_GB2312"/>
          <w:kern w:val="2"/>
          <w:sz w:val="32"/>
          <w:szCs w:val="32"/>
          <w:highlight w:val="none"/>
          <w:lang w:val="en-US" w:eastAsia="zh-CN" w:bidi="ar"/>
        </w:rPr>
        <w:t>日</w:t>
      </w:r>
    </w:p>
    <w:p w14:paraId="3648C582">
      <w:pPr>
        <w:keepNext w:val="0"/>
        <w:keepLines w:val="0"/>
        <w:widowControl w:val="0"/>
        <w:suppressLineNumbers w:val="0"/>
        <w:spacing w:before="0" w:beforeAutospacing="0" w:after="0" w:afterAutospacing="0"/>
        <w:ind w:left="0" w:right="0"/>
        <w:jc w:val="center"/>
        <w:rPr>
          <w:rFonts w:hint="default" w:ascii="Times New Roman" w:hAnsi="Times New Roman" w:eastAsia="黑体" w:cs="Times New Roman"/>
          <w:kern w:val="2"/>
          <w:sz w:val="52"/>
          <w:szCs w:val="52"/>
          <w:highlight w:val="none"/>
        </w:rPr>
      </w:pPr>
      <w:r>
        <w:rPr>
          <w:rFonts w:hint="default" w:ascii="Times New Roman" w:hAnsi="Times New Roman" w:eastAsia="黑体" w:cs="Times New Roman"/>
          <w:kern w:val="2"/>
          <w:sz w:val="52"/>
          <w:szCs w:val="52"/>
          <w:highlight w:val="none"/>
          <w:lang w:val="en-US" w:eastAsia="zh-CN" w:bidi="ar"/>
        </w:rPr>
        <w:t xml:space="preserve"> </w:t>
      </w:r>
    </w:p>
    <w:p w14:paraId="734F727C">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黑体" w:cs="Times New Roman"/>
          <w:kern w:val="2"/>
          <w:sz w:val="52"/>
          <w:szCs w:val="52"/>
          <w:highlight w:val="none"/>
        </w:rPr>
      </w:pPr>
      <w:r>
        <w:rPr>
          <w:rFonts w:hint="default" w:ascii="Times New Roman" w:hAnsi="Times New Roman" w:eastAsia="黑体" w:cs="Times New Roman"/>
          <w:kern w:val="2"/>
          <w:sz w:val="52"/>
          <w:szCs w:val="52"/>
          <w:highlight w:val="none"/>
          <w:lang w:val="en-US" w:eastAsia="zh-CN" w:bidi="ar"/>
        </w:rPr>
        <w:t xml:space="preserve"> </w:t>
      </w:r>
    </w:p>
    <w:p w14:paraId="2EFDCE09">
      <w:pPr>
        <w:keepNext w:val="0"/>
        <w:keepLines w:val="0"/>
        <w:widowControl w:val="0"/>
        <w:suppressLineNumbers w:val="0"/>
        <w:spacing w:before="0" w:beforeAutospacing="0" w:after="0" w:afterAutospacing="0" w:line="360" w:lineRule="auto"/>
        <w:ind w:left="0" w:right="0" w:firstLine="2100" w:firstLineChars="1000"/>
        <w:jc w:val="both"/>
        <w:rPr>
          <w:highlight w:val="none"/>
        </w:rPr>
      </w:pPr>
      <w:r>
        <w:rPr>
          <w:rFonts w:hint="default" w:ascii="Times New Roman" w:hAnsi="Times New Roman" w:eastAsia="宋体" w:cs="Times New Roman"/>
          <w:kern w:val="2"/>
          <w:sz w:val="21"/>
          <w:szCs w:val="21"/>
          <w:highlight w:val="none"/>
          <w:lang w:val="en-US" w:eastAsia="zh-CN" w:bidi="ar"/>
        </w:rPr>
        <w:drawing>
          <wp:inline distT="0" distB="0" distL="114300" distR="114300">
            <wp:extent cx="723900" cy="457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5"/>
                    <a:stretch>
                      <a:fillRect/>
                    </a:stretch>
                  </pic:blipFill>
                  <pic:spPr>
                    <a:xfrm>
                      <a:off x="0" y="0"/>
                      <a:ext cx="723900" cy="457200"/>
                    </a:xfrm>
                    <a:prstGeom prst="rect">
                      <a:avLst/>
                    </a:prstGeom>
                    <a:noFill/>
                    <a:ln w="9525">
                      <a:noFill/>
                    </a:ln>
                  </pic:spPr>
                </pic:pic>
              </a:graphicData>
            </a:graphic>
          </wp:inline>
        </w:drawing>
      </w:r>
    </w:p>
    <w:p w14:paraId="39830F8B">
      <w:pPr>
        <w:spacing w:line="360" w:lineRule="auto"/>
        <w:rPr>
          <w:rFonts w:hint="eastAsia" w:ascii="华文中宋" w:hAnsi="华文中宋" w:eastAsia="华文中宋" w:cs="Times New Roman"/>
          <w:spacing w:val="20"/>
          <w:kern w:val="2"/>
          <w:sz w:val="32"/>
          <w:szCs w:val="32"/>
          <w:highlight w:val="none"/>
        </w:rPr>
        <w:sectPr>
          <w:footerReference r:id="rId9" w:type="default"/>
          <w:pgSz w:w="11906" w:h="16838"/>
          <w:pgMar w:top="1418" w:right="1028" w:bottom="1418" w:left="998" w:header="851" w:footer="907" w:gutter="0"/>
          <w:pgNumType w:fmt="decimal"/>
          <w:cols w:space="720" w:num="1"/>
          <w:docGrid w:type="lines" w:linePitch="312" w:charSpace="0"/>
        </w:sectPr>
      </w:pPr>
    </w:p>
    <w:p w14:paraId="5790D118">
      <w:pPr>
        <w:keepNext w:val="0"/>
        <w:keepLines w:val="0"/>
        <w:widowControl w:val="0"/>
        <w:suppressLineNumbers w:val="0"/>
        <w:adjustRightInd w:val="0"/>
        <w:snapToGrid w:val="0"/>
        <w:spacing w:before="0" w:beforeAutospacing="0" w:after="0" w:afterAutospacing="0" w:line="440" w:lineRule="exact"/>
        <w:ind w:left="0" w:right="0"/>
        <w:jc w:val="center"/>
        <w:rPr>
          <w:rFonts w:hint="eastAsia" w:ascii="宋体" w:hAnsi="Times New Roman" w:eastAsia="宋体" w:cs="宋体"/>
          <w:b/>
          <w:bCs w:val="0"/>
          <w:kern w:val="0"/>
          <w:sz w:val="28"/>
          <w:szCs w:val="28"/>
          <w:highlight w:val="none"/>
        </w:rPr>
      </w:pPr>
      <w:r>
        <w:rPr>
          <w:rFonts w:hint="eastAsia" w:ascii="宋体" w:hAnsi="宋体" w:cs="宋体"/>
          <w:b/>
          <w:bCs w:val="0"/>
          <w:kern w:val="0"/>
          <w:sz w:val="28"/>
          <w:szCs w:val="28"/>
          <w:highlight w:val="none"/>
          <w:lang w:val="en-US" w:eastAsia="zh-CN" w:bidi="ar"/>
        </w:rPr>
        <w:t>琅琊山清风明月楼、深秀湖水榭EPCO项目审计</w:t>
      </w:r>
      <w:r>
        <w:rPr>
          <w:rFonts w:hint="eastAsia" w:ascii="宋体" w:hAnsi="宋体" w:eastAsia="宋体" w:cs="宋体"/>
          <w:b/>
          <w:bCs w:val="0"/>
          <w:kern w:val="0"/>
          <w:sz w:val="28"/>
          <w:szCs w:val="28"/>
          <w:highlight w:val="none"/>
          <w:lang w:val="en-US" w:eastAsia="zh-CN" w:bidi="ar"/>
        </w:rPr>
        <w:t>委托协议</w:t>
      </w:r>
    </w:p>
    <w:p w14:paraId="0E18BB66">
      <w:pPr>
        <w:keepNext w:val="0"/>
        <w:keepLines w:val="0"/>
        <w:widowControl w:val="0"/>
        <w:suppressLineNumbers w:val="0"/>
        <w:autoSpaceDE w:val="0"/>
        <w:autoSpaceDN/>
        <w:adjustRightInd w:val="0"/>
        <w:snapToGrid w:val="0"/>
        <w:spacing w:before="0" w:beforeAutospacing="0" w:after="0" w:afterAutospacing="0" w:line="312" w:lineRule="auto"/>
        <w:ind w:left="0" w:right="0"/>
        <w:jc w:val="both"/>
        <w:rPr>
          <w:rFonts w:hint="eastAsia" w:ascii="宋体" w:hAnsi="Times New Roman" w:eastAsia="宋体" w:cs="宋体"/>
          <w:kern w:val="0"/>
          <w:sz w:val="24"/>
          <w:szCs w:val="24"/>
          <w:highlight w:val="none"/>
        </w:rPr>
      </w:pPr>
      <w:r>
        <w:rPr>
          <w:rFonts w:hint="eastAsia" w:ascii="宋体" w:hAnsi="Times New Roman" w:eastAsia="宋体" w:cs="宋体"/>
          <w:kern w:val="0"/>
          <w:sz w:val="24"/>
          <w:szCs w:val="24"/>
          <w:highlight w:val="none"/>
          <w:lang w:val="en-US" w:eastAsia="zh-CN" w:bidi="ar"/>
        </w:rPr>
        <w:t xml:space="preserve"> </w:t>
      </w:r>
    </w:p>
    <w:p w14:paraId="3BE19E27">
      <w:pPr>
        <w:keepNext w:val="0"/>
        <w:keepLines w:val="0"/>
        <w:widowControl w:val="0"/>
        <w:suppressLineNumbers w:val="0"/>
        <w:autoSpaceDE w:val="0"/>
        <w:autoSpaceDN/>
        <w:adjustRightInd w:val="0"/>
        <w:snapToGrid w:val="0"/>
        <w:spacing w:before="0" w:beforeAutospacing="0" w:after="0" w:afterAutospacing="0" w:line="500" w:lineRule="exact"/>
        <w:ind w:left="0" w:right="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委托方（甲方）：</w:t>
      </w:r>
      <w:r>
        <w:rPr>
          <w:rFonts w:hint="eastAsia" w:ascii="宋体" w:hAnsi="Times New Roman" w:eastAsia="宋体" w:cs="宋体"/>
          <w:kern w:val="0"/>
          <w:sz w:val="21"/>
          <w:szCs w:val="21"/>
          <w:highlight w:val="none"/>
          <w:u w:val="single"/>
          <w:lang w:val="en-US" w:eastAsia="zh-CN" w:bidi="ar"/>
        </w:rPr>
        <w:t xml:space="preserve">                      </w:t>
      </w:r>
    </w:p>
    <w:p w14:paraId="68900B60">
      <w:pPr>
        <w:keepNext w:val="0"/>
        <w:keepLines w:val="0"/>
        <w:widowControl w:val="0"/>
        <w:suppressLineNumbers w:val="0"/>
        <w:autoSpaceDE w:val="0"/>
        <w:autoSpaceDN/>
        <w:adjustRightInd w:val="0"/>
        <w:snapToGrid w:val="0"/>
        <w:spacing w:before="0" w:beforeAutospacing="0" w:after="0" w:afterAutospacing="0" w:line="500" w:lineRule="exact"/>
        <w:ind w:left="0" w:right="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受托方（乙方）：</w:t>
      </w:r>
      <w:r>
        <w:rPr>
          <w:rFonts w:hint="eastAsia" w:ascii="宋体" w:hAnsi="Times New Roman" w:eastAsia="宋体" w:cs="宋体"/>
          <w:kern w:val="0"/>
          <w:sz w:val="21"/>
          <w:szCs w:val="21"/>
          <w:highlight w:val="none"/>
          <w:u w:val="single"/>
          <w:lang w:val="en-US" w:eastAsia="zh-CN" w:bidi="ar"/>
        </w:rPr>
        <w:t xml:space="preserve">                      </w:t>
      </w:r>
    </w:p>
    <w:p w14:paraId="3FF9245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为保证滁州市政府投资项目审计工作质量和效率，依据《中华人民共和国审计法》、《中华人民共和国民法典》、《滁州市政府投资项目管理暂行办法》、《滁州市政府投资建设项目审计监督办法》等有关法律法规，甲、乙双方经协商一致，自愿签订本协议。</w:t>
      </w:r>
    </w:p>
    <w:p w14:paraId="7B4EEC3A">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一、跟踪（结算）审计项目</w:t>
      </w:r>
    </w:p>
    <w:p w14:paraId="194AC8DD">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1.项目名称：</w:t>
      </w:r>
      <w:r>
        <w:rPr>
          <w:rFonts w:hint="eastAsia" w:ascii="宋体" w:hAnsi="宋体" w:cs="宋体"/>
          <w:kern w:val="0"/>
          <w:sz w:val="21"/>
          <w:szCs w:val="21"/>
          <w:highlight w:val="none"/>
          <w:lang w:val="en-US" w:eastAsia="zh-CN" w:bidi="ar"/>
        </w:rPr>
        <w:t>琅琊山清风明月楼、深秀湖水榭EPCO项目审计</w:t>
      </w:r>
    </w:p>
    <w:p w14:paraId="3588FF33">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2.项目投资额：</w:t>
      </w:r>
      <w:r>
        <w:rPr>
          <w:rFonts w:hint="eastAsia" w:ascii="宋体" w:hAnsi="宋体" w:cs="宋体"/>
          <w:kern w:val="2"/>
          <w:sz w:val="21"/>
          <w:szCs w:val="21"/>
          <w:highlight w:val="none"/>
          <w:lang w:val="en-US" w:eastAsia="zh-CN" w:bidi="ar"/>
        </w:rPr>
        <w:t>琅琊山清风明月楼、深秀湖水榭EPCO项目</w:t>
      </w:r>
      <w:r>
        <w:rPr>
          <w:rFonts w:hint="eastAsia" w:ascii="宋体" w:hAnsi="宋体" w:eastAsia="宋体" w:cs="宋体"/>
          <w:kern w:val="2"/>
          <w:sz w:val="21"/>
          <w:szCs w:val="21"/>
          <w:highlight w:val="none"/>
          <w:lang w:val="en-US" w:eastAsia="zh-CN" w:bidi="ar"/>
        </w:rPr>
        <w:t>，投资金额约</w:t>
      </w:r>
      <w:r>
        <w:rPr>
          <w:rFonts w:hint="eastAsia" w:ascii="宋体" w:hAnsi="宋体" w:cs="宋体"/>
          <w:kern w:val="2"/>
          <w:sz w:val="21"/>
          <w:szCs w:val="21"/>
          <w:highlight w:val="none"/>
          <w:lang w:val="en-US" w:eastAsia="zh-CN" w:bidi="ar"/>
        </w:rPr>
        <w:t>388万元</w:t>
      </w:r>
      <w:r>
        <w:rPr>
          <w:rFonts w:hint="eastAsia" w:ascii="宋体" w:hAnsi="宋体" w:eastAsia="宋体" w:cs="宋体"/>
          <w:kern w:val="2"/>
          <w:sz w:val="21"/>
          <w:szCs w:val="21"/>
          <w:highlight w:val="none"/>
          <w:lang w:val="en-US" w:eastAsia="zh-CN" w:bidi="ar"/>
        </w:rPr>
        <w:t>（具体以实际发生为准），跟踪审计服务费约</w:t>
      </w:r>
      <w:r>
        <w:rPr>
          <w:rFonts w:hint="eastAsia" w:ascii="宋体" w:hAnsi="宋体" w:cs="宋体"/>
          <w:kern w:val="2"/>
          <w:sz w:val="21"/>
          <w:szCs w:val="21"/>
          <w:highlight w:val="none"/>
          <w:lang w:val="en-US" w:eastAsia="zh-CN" w:bidi="ar"/>
        </w:rPr>
        <w:t>2.1万元</w:t>
      </w:r>
      <w:r>
        <w:rPr>
          <w:rFonts w:hint="eastAsia" w:ascii="宋体" w:hAnsi="宋体" w:eastAsia="宋体" w:cs="宋体"/>
          <w:kern w:val="0"/>
          <w:sz w:val="21"/>
          <w:szCs w:val="21"/>
          <w:highlight w:val="none"/>
          <w:lang w:val="en-US" w:eastAsia="zh-CN" w:bidi="ar"/>
        </w:rPr>
        <w:t>。</w:t>
      </w:r>
    </w:p>
    <w:p w14:paraId="5F3EFE9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宋体"/>
          <w:kern w:val="0"/>
          <w:sz w:val="21"/>
          <w:szCs w:val="21"/>
          <w:highlight w:val="none"/>
        </w:rPr>
      </w:pPr>
      <w:r>
        <w:rPr>
          <w:rFonts w:hint="eastAsia" w:ascii="宋体" w:hAnsi="宋体" w:eastAsia="宋体" w:cs="宋体"/>
          <w:kern w:val="0"/>
          <w:sz w:val="21"/>
          <w:szCs w:val="21"/>
          <w:highlight w:val="none"/>
          <w:lang w:val="en-US" w:eastAsia="zh-CN" w:bidi="ar"/>
        </w:rPr>
        <w:t>3.委托内容：跟踪审计</w:t>
      </w:r>
    </w:p>
    <w:p w14:paraId="1AA27B75">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（1）成立项目跟踪（结算）审计组，编制跟踪（结算）审计实施方案，确定投资控制目标、重点环节及应对措施；</w:t>
      </w:r>
      <w:r>
        <w:rPr>
          <w:rFonts w:hint="eastAsia" w:ascii="宋体" w:hAnsi="Times New Roman" w:eastAsia="宋体" w:cs="Times New Roman"/>
          <w:kern w:val="2"/>
          <w:sz w:val="21"/>
          <w:szCs w:val="21"/>
          <w:highlight w:val="none"/>
          <w:lang w:val="en-US" w:eastAsia="zh-CN" w:bidi="ar"/>
        </w:rPr>
        <w:t xml:space="preserve"> </w:t>
      </w:r>
    </w:p>
    <w:p w14:paraId="0AC5BCA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（2）审核项目前期资料（图纸、工程量清单及控制价、招标投标文件、施工合同等），向甲方提交审核结果；</w:t>
      </w:r>
    </w:p>
    <w:p w14:paraId="16C56C85">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（3）对承包方上报的请款期已完成合格工程量的计量、计价进行审核，并提供按工程形象进度付款的意见、建议；</w:t>
      </w:r>
    </w:p>
    <w:p w14:paraId="7384B11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（4）及时核定分阶段完工的项目分部、分项工程价款结算，项目竣工后，及时提交完整的竣工结算审核报告；</w:t>
      </w:r>
    </w:p>
    <w:p w14:paraId="4902E36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（5）协助甲方及时审核设计变更、经济签证等发生的费用，超过一定限额的，提请甲方履行报批程序；</w:t>
      </w:r>
    </w:p>
    <w:p w14:paraId="6CA4931A">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（6）项目承、发包方发生工程价款结算争议时，为甲方提供咨询意见；</w:t>
      </w:r>
    </w:p>
    <w:p w14:paraId="7CF9DA3B">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（7）参与项目建设管理的有关会议，对项目投资控制的有关事项发表独立审计意见；</w:t>
      </w:r>
      <w:r>
        <w:rPr>
          <w:rFonts w:hint="eastAsia" w:ascii="宋体" w:hAnsi="Times New Roman" w:eastAsia="宋体" w:cs="Times New Roman"/>
          <w:kern w:val="2"/>
          <w:sz w:val="21"/>
          <w:szCs w:val="21"/>
          <w:highlight w:val="none"/>
          <w:lang w:val="en-US" w:eastAsia="zh-CN" w:bidi="ar"/>
        </w:rPr>
        <w:t xml:space="preserve"> </w:t>
      </w:r>
    </w:p>
    <w:p w14:paraId="79020D2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（8）其他与项目投资控制相关的工作。</w:t>
      </w:r>
    </w:p>
    <w:p w14:paraId="7D6C3ED8">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二、项目跟踪（结算）审计制度及相关要求</w:t>
      </w:r>
    </w:p>
    <w:p w14:paraId="227468E6">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1.滁州市政府投资项目审计“八不准制度”；</w:t>
      </w:r>
    </w:p>
    <w:p w14:paraId="1464CA70">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2.滁州市政府投资项目竣工结算审计结果备案制度；</w:t>
      </w:r>
    </w:p>
    <w:p w14:paraId="2752E1A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3.滁州市建设项目施工阶段全过程造价控制管理暂行办法；</w:t>
      </w:r>
    </w:p>
    <w:p w14:paraId="30A892C8">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4.实行定期、分段报告制度。乙方应及时提交项目前期资料审核结果、跟踪（结算）审计月报、竣工结算审核报告；</w:t>
      </w:r>
    </w:p>
    <w:p w14:paraId="2CB00661">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5.加强对项目变更事项的合理性、经济性审核。对涉及工程造价的重大事项须及时书面报告甲方，否则项目竣工结算不予审核备案，由此造成的后果由乙方承担；</w:t>
      </w:r>
    </w:p>
    <w:p w14:paraId="34FF5E9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6.协助甲方完成项目投资控制的各项工作，接受甲方的项目现场管理。</w:t>
      </w:r>
    </w:p>
    <w:p w14:paraId="29EFDC81">
      <w:pPr>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both"/>
        <w:rPr>
          <w:rFonts w:hint="eastAsia" w:ascii="宋体" w:hAnsi="Times New Roman"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三、项目跟踪（结算）审计组及人员配备要求</w:t>
      </w:r>
    </w:p>
    <w:p w14:paraId="36410E87">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1.乙方须成立项目跟踪（结算）审计组，配备相应数量具有相关专业执业资质的审计人员（须为备选库入库人员）。本项目审计组负责人为</w:t>
      </w:r>
      <w:r>
        <w:rPr>
          <w:rFonts w:hint="eastAsia" w:ascii="宋体" w:hAnsi="宋体" w:eastAsia="宋体" w:cs="宋体"/>
          <w:kern w:val="2"/>
          <w:sz w:val="21"/>
          <w:szCs w:val="21"/>
          <w:highlight w:val="none"/>
          <w:u w:val="single"/>
          <w:lang w:val="en-US" w:eastAsia="zh-CN" w:bidi="ar"/>
        </w:rPr>
        <w:t>姓名、注册造价师证书号、联系电话</w:t>
      </w:r>
      <w:r>
        <w:rPr>
          <w:rFonts w:hint="eastAsia" w:ascii="宋体" w:hAnsi="宋体" w:eastAsia="宋体" w:cs="宋体"/>
          <w:kern w:val="2"/>
          <w:sz w:val="21"/>
          <w:szCs w:val="21"/>
          <w:highlight w:val="none"/>
          <w:lang w:val="en-US" w:eastAsia="zh-CN" w:bidi="ar"/>
        </w:rPr>
        <w:t>，成员为</w:t>
      </w:r>
      <w:r>
        <w:rPr>
          <w:rFonts w:hint="eastAsia" w:ascii="宋体" w:hAnsi="宋体" w:eastAsia="宋体" w:cs="宋体"/>
          <w:kern w:val="2"/>
          <w:sz w:val="21"/>
          <w:szCs w:val="21"/>
          <w:highlight w:val="none"/>
          <w:u w:val="single"/>
          <w:lang w:val="en-US" w:eastAsia="zh-CN" w:bidi="ar"/>
        </w:rPr>
        <w:t>姓名、造价师证书号、联系电话（现场负责人）</w:t>
      </w:r>
      <w:r>
        <w:rPr>
          <w:rFonts w:hint="eastAsia" w:ascii="宋体" w:hAnsi="宋体" w:eastAsia="宋体" w:cs="宋体"/>
          <w:kern w:val="2"/>
          <w:sz w:val="21"/>
          <w:szCs w:val="21"/>
          <w:highlight w:val="none"/>
          <w:lang w:val="en-US" w:eastAsia="zh-CN" w:bidi="ar"/>
        </w:rPr>
        <w:t>；</w:t>
      </w:r>
    </w:p>
    <w:p w14:paraId="5447618C">
      <w:pPr>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both"/>
        <w:rPr>
          <w:rFonts w:hint="eastAsia" w:ascii="宋体"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2.项目审计人员须服从甲方的工作安排，未经甲方许可，乙方不得随意更换、调整审计组人员。</w:t>
      </w:r>
    </w:p>
    <w:p w14:paraId="2DB27A04">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kern w:val="2"/>
          <w:sz w:val="24"/>
          <w:szCs w:val="24"/>
          <w:highlight w:val="none"/>
        </w:rPr>
      </w:pPr>
      <w:r>
        <w:rPr>
          <w:rFonts w:hint="eastAsia" w:ascii="宋体" w:hAnsi="宋体" w:eastAsia="宋体" w:cs="宋体"/>
          <w:b/>
          <w:bCs/>
          <w:kern w:val="0"/>
          <w:sz w:val="24"/>
          <w:szCs w:val="24"/>
          <w:highlight w:val="none"/>
          <w:lang w:val="en-US" w:eastAsia="zh-CN" w:bidi="ar"/>
        </w:rPr>
        <w:t>四、项目跟踪（结算）审计质量要求</w:t>
      </w:r>
    </w:p>
    <w:p w14:paraId="47DF04D8">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招标人对协审机构出具的项目竣工结算审核报告进行抽查或复审，审查结果误差按以下办法处理：</w:t>
      </w:r>
    </w:p>
    <w:p w14:paraId="436537B5">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（一）审查结果误差率在2%以内（含），协审机构可按照委托协议约定收取审计服务费用；</w:t>
      </w:r>
    </w:p>
    <w:p w14:paraId="5A7B424E">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（二）审查结果误差在2%-3%（含）之间，审计服务费用扣除15%；</w:t>
      </w:r>
    </w:p>
    <w:p w14:paraId="19663353">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（三）审查结果误差在3%-4%（含）之间，审计服务费用扣除30%；</w:t>
      </w:r>
    </w:p>
    <w:p w14:paraId="6C37124A">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（四）工程造价审查结果误差超过4%的项目, 全额扣除该项目审计服务费用，同时，对工程造价1000（含）-5000万元以上审查结果误差超过4%项目的协审机构，停止委托审计业务半年，对工程造价5000万元以上（含）审查结果误差超过4%项目的协审机构，停止委托审计业务一年。</w:t>
      </w:r>
    </w:p>
    <w:p w14:paraId="12A84AD0">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五、项目跟踪（结算）审计服务费用标准及结算方式</w:t>
      </w:r>
    </w:p>
    <w:p w14:paraId="4A9BE13D">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（一）项目跟踪（结算）审计基本费率</w:t>
      </w:r>
      <w:r>
        <w:rPr>
          <w:rFonts w:hint="eastAsia" w:cs="宋体"/>
          <w:kern w:val="2"/>
          <w:sz w:val="21"/>
          <w:szCs w:val="21"/>
          <w:highlight w:val="none"/>
          <w:lang w:val="en-US" w:eastAsia="zh-CN" w:bidi="ar"/>
        </w:rPr>
        <w:t>为</w:t>
      </w:r>
      <w:r>
        <w:rPr>
          <w:rFonts w:hint="eastAsia" w:cs="Times New Roman"/>
          <w:kern w:val="2"/>
          <w:sz w:val="21"/>
          <w:szCs w:val="21"/>
          <w:highlight w:val="none"/>
          <w:u w:val="single"/>
          <w:lang w:val="en-US" w:eastAsia="zh-CN" w:bidi="ar"/>
        </w:rPr>
        <w:t>3</w:t>
      </w:r>
      <w:r>
        <w:rPr>
          <w:rFonts w:hint="eastAsia" w:ascii="宋体" w:hAnsi="宋体" w:eastAsia="宋体" w:cs="宋体"/>
          <w:kern w:val="2"/>
          <w:sz w:val="21"/>
          <w:szCs w:val="21"/>
          <w:highlight w:val="none"/>
          <w:lang w:val="en-US" w:eastAsia="zh-CN" w:bidi="ar"/>
        </w:rPr>
        <w:t>‰、审核成果费率</w:t>
      </w:r>
      <w:r>
        <w:rPr>
          <w:rFonts w:hint="eastAsia" w:cs="宋体"/>
          <w:kern w:val="2"/>
          <w:sz w:val="21"/>
          <w:szCs w:val="21"/>
          <w:highlight w:val="none"/>
          <w:lang w:val="en-US" w:eastAsia="zh-CN" w:bidi="ar"/>
        </w:rPr>
        <w:t>为</w:t>
      </w:r>
      <w:r>
        <w:rPr>
          <w:rFonts w:hint="eastAsia" w:ascii="宋体" w:hAnsi="宋体" w:eastAsia="宋体" w:cs="宋体"/>
          <w:kern w:val="2"/>
          <w:sz w:val="21"/>
          <w:szCs w:val="21"/>
          <w:highlight w:val="none"/>
          <w:u w:val="single"/>
          <w:lang w:val="en-US" w:eastAsia="zh-CN" w:bidi="ar"/>
        </w:rPr>
        <w:t>1.5</w:t>
      </w:r>
      <w:r>
        <w:rPr>
          <w:rFonts w:hint="eastAsia" w:ascii="宋体" w:hAnsi="宋体" w:eastAsia="宋体" w:cs="宋体"/>
          <w:kern w:val="2"/>
          <w:sz w:val="21"/>
          <w:szCs w:val="21"/>
          <w:highlight w:val="none"/>
          <w:lang w:val="en-US" w:eastAsia="zh-CN" w:bidi="ar"/>
        </w:rPr>
        <w:t>%</w:t>
      </w:r>
      <w:r>
        <w:rPr>
          <w:rFonts w:hint="eastAsia" w:cs="宋体"/>
          <w:kern w:val="2"/>
          <w:sz w:val="21"/>
          <w:szCs w:val="21"/>
          <w:highlight w:val="none"/>
          <w:lang w:val="en-US" w:eastAsia="zh-CN" w:bidi="ar"/>
        </w:rPr>
        <w:t>，</w:t>
      </w:r>
      <w:r>
        <w:rPr>
          <w:rFonts w:hint="eastAsia" w:cs="宋体"/>
          <w:color w:val="0000FF"/>
          <w:kern w:val="2"/>
          <w:sz w:val="21"/>
          <w:szCs w:val="21"/>
          <w:highlight w:val="none"/>
          <w:lang w:val="en-US" w:eastAsia="zh-CN" w:bidi="ar"/>
        </w:rPr>
        <w:t>中标费率为</w:t>
      </w:r>
      <w:r>
        <w:rPr>
          <w:rFonts w:hint="eastAsia" w:ascii="宋体" w:hAnsi="宋体" w:eastAsia="宋体" w:cs="宋体"/>
          <w:color w:val="0000FF"/>
          <w:kern w:val="2"/>
          <w:sz w:val="21"/>
          <w:szCs w:val="21"/>
          <w:highlight w:val="none"/>
          <w:lang w:val="en-US" w:eastAsia="zh-CN" w:bidi="ar"/>
        </w:rPr>
        <w:t>：</w:t>
      </w:r>
      <w:r>
        <w:rPr>
          <w:rFonts w:hint="eastAsia" w:cs="宋体"/>
          <w:color w:val="0000FF"/>
          <w:kern w:val="2"/>
          <w:sz w:val="21"/>
          <w:szCs w:val="21"/>
          <w:highlight w:val="none"/>
          <w:u w:val="single"/>
          <w:lang w:val="en-US" w:eastAsia="zh-CN" w:bidi="ar"/>
        </w:rPr>
        <w:t xml:space="preserve">     </w:t>
      </w:r>
      <w:r>
        <w:rPr>
          <w:rFonts w:hint="eastAsia" w:cs="宋体"/>
          <w:color w:val="0000FF"/>
          <w:kern w:val="2"/>
          <w:sz w:val="21"/>
          <w:szCs w:val="21"/>
          <w:highlight w:val="none"/>
          <w:lang w:val="en-US" w:eastAsia="zh-CN" w:bidi="ar"/>
        </w:rPr>
        <w:t>%</w:t>
      </w:r>
      <w:r>
        <w:rPr>
          <w:rFonts w:hint="eastAsia" w:ascii="宋体" w:hAnsi="宋体" w:eastAsia="宋体" w:cs="宋体"/>
          <w:color w:val="0000FF"/>
          <w:kern w:val="2"/>
          <w:sz w:val="21"/>
          <w:szCs w:val="21"/>
          <w:highlight w:val="none"/>
          <w:lang w:val="en-US" w:eastAsia="zh-CN" w:bidi="ar"/>
        </w:rPr>
        <w:t>。</w:t>
      </w:r>
    </w:p>
    <w:p w14:paraId="30A30DF8">
      <w:pPr>
        <w:keepNext w:val="0"/>
        <w:keepLines w:val="0"/>
        <w:widowControl w:val="0"/>
        <w:suppressLineNumbers w:val="0"/>
        <w:autoSpaceDE w:val="0"/>
        <w:autoSpaceDN/>
        <w:spacing w:before="0" w:beforeAutospacing="0" w:after="0" w:afterAutospacing="0" w:line="500" w:lineRule="exact"/>
        <w:ind w:left="0" w:leftChars="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注：1. 服务费计算方式为：（基本费+审核成果费）×中标费率。其中，跟踪审计服务基本费计算基数为审定金额；审核成果费计算基数为独立核减金额。</w:t>
      </w:r>
    </w:p>
    <w:p w14:paraId="7F4678C6">
      <w:pPr>
        <w:keepNext w:val="0"/>
        <w:keepLines w:val="0"/>
        <w:widowControl w:val="0"/>
        <w:suppressLineNumbers w:val="0"/>
        <w:autoSpaceDE w:val="0"/>
        <w:autoSpaceDN/>
        <w:spacing w:before="0" w:beforeAutospacing="0" w:after="0" w:afterAutospacing="0" w:line="500" w:lineRule="exact"/>
        <w:ind w:left="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2.工程造价审减率超过</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时，将对施工单位进行处罚，处罚金额为审减率超出</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以上的报送金额的</w:t>
      </w:r>
      <w:r>
        <w:rPr>
          <w:rFonts w:hint="eastAsia" w:ascii="宋体" w:hAnsi="宋体" w:eastAsia="宋体" w:cs="宋体"/>
          <w:b/>
          <w:bCs/>
          <w:kern w:val="2"/>
          <w:sz w:val="21"/>
          <w:szCs w:val="21"/>
          <w:highlight w:val="none"/>
          <w:lang w:val="en-US" w:eastAsia="zh-CN" w:bidi="ar"/>
        </w:rPr>
        <w:t>5%</w:t>
      </w:r>
      <w:r>
        <w:rPr>
          <w:rFonts w:hint="eastAsia" w:ascii="宋体" w:hAnsi="宋体" w:eastAsia="宋体" w:cs="宋体"/>
          <w:kern w:val="2"/>
          <w:sz w:val="21"/>
          <w:szCs w:val="21"/>
          <w:highlight w:val="none"/>
          <w:lang w:val="en-US" w:eastAsia="zh-CN" w:bidi="ar"/>
        </w:rPr>
        <w:t>,</w:t>
      </w:r>
      <w:r>
        <w:rPr>
          <w:rFonts w:hint="eastAsia" w:ascii="宋体" w:hAnsi="宋体" w:eastAsia="宋体" w:cs="宋体"/>
          <w:b w:val="0"/>
          <w:bCs w:val="0"/>
          <w:kern w:val="2"/>
          <w:sz w:val="21"/>
          <w:szCs w:val="21"/>
          <w:highlight w:val="none"/>
          <w:lang w:val="en-US" w:eastAsia="zh-CN" w:bidi="ar"/>
        </w:rPr>
        <w:t>由招标人落实处罚。</w:t>
      </w:r>
    </w:p>
    <w:p w14:paraId="248CF638">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（二）项目跟踪（结算）审计费用结算方式</w:t>
      </w:r>
    </w:p>
    <w:p w14:paraId="3E765A49">
      <w:pPr>
        <w:pStyle w:val="29"/>
        <w:keepNext w:val="0"/>
        <w:keepLines w:val="0"/>
        <w:widowControl w:val="0"/>
        <w:suppressLineNumbers w:val="0"/>
        <w:autoSpaceDE w:val="0"/>
        <w:autoSpaceDN/>
        <w:snapToGrid w:val="0"/>
        <w:spacing w:before="0" w:beforeAutospacing="0" w:after="0" w:afterAutospacing="0" w:line="500" w:lineRule="exact"/>
        <w:ind w:left="0" w:right="0" w:firstLine="422" w:firstLineChars="200"/>
        <w:jc w:val="left"/>
        <w:rPr>
          <w:rFonts w:hint="eastAsia" w:ascii="宋体" w:hAnsi="宋体" w:eastAsia="宋体" w:cs="Times New Roman"/>
          <w:b/>
          <w:bCs/>
          <w:kern w:val="2"/>
          <w:sz w:val="21"/>
          <w:szCs w:val="21"/>
          <w:highlight w:val="none"/>
        </w:rPr>
      </w:pPr>
      <w:r>
        <w:rPr>
          <w:rFonts w:hint="eastAsia" w:ascii="宋体" w:hAnsi="宋体" w:eastAsia="宋体" w:cs="宋体"/>
          <w:b/>
          <w:bCs/>
          <w:kern w:val="2"/>
          <w:sz w:val="21"/>
          <w:szCs w:val="21"/>
          <w:highlight w:val="none"/>
          <w:lang w:val="en-US" w:eastAsia="zh-CN" w:bidi="ar"/>
        </w:rPr>
        <w:t>付款方式：</w:t>
      </w:r>
      <w:r>
        <w:rPr>
          <w:rFonts w:hint="eastAsia" w:ascii="宋体" w:hAnsi="宋体" w:eastAsia="宋体" w:cs="宋体"/>
          <w:b/>
          <w:bCs/>
          <w:kern w:val="0"/>
          <w:sz w:val="21"/>
          <w:szCs w:val="21"/>
          <w:highlight w:val="none"/>
          <w:lang w:val="en-US" w:eastAsia="zh-CN" w:bidi="ar"/>
        </w:rPr>
        <w:t>工程竣工验收合格并审计结算完成后一次性付清</w:t>
      </w:r>
      <w:r>
        <w:rPr>
          <w:rFonts w:hint="eastAsia" w:ascii="宋体" w:hAnsi="宋体" w:eastAsia="宋体" w:cs="宋体"/>
          <w:b/>
          <w:bCs/>
          <w:kern w:val="2"/>
          <w:sz w:val="21"/>
          <w:szCs w:val="21"/>
          <w:highlight w:val="none"/>
          <w:lang w:val="en-US" w:eastAsia="zh-CN" w:bidi="ar"/>
        </w:rPr>
        <w:t>。</w:t>
      </w:r>
    </w:p>
    <w:p w14:paraId="47A4AAB5">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Times New Roman" w:eastAsia="宋体" w:cs="宋体"/>
          <w:b/>
          <w:bCs/>
          <w:kern w:val="0"/>
          <w:sz w:val="24"/>
          <w:szCs w:val="24"/>
          <w:highlight w:val="none"/>
        </w:rPr>
      </w:pPr>
      <w:r>
        <w:rPr>
          <w:rFonts w:hint="eastAsia" w:ascii="宋体" w:hAnsi="宋体" w:eastAsia="宋体" w:cs="宋体"/>
          <w:b/>
          <w:bCs/>
          <w:kern w:val="0"/>
          <w:sz w:val="24"/>
          <w:szCs w:val="24"/>
          <w:highlight w:val="none"/>
          <w:lang w:val="en-US" w:eastAsia="zh-CN" w:bidi="ar"/>
        </w:rPr>
        <w:t>六、审计质量、时限及过程管理要求</w:t>
      </w:r>
    </w:p>
    <w:p w14:paraId="74B578EA">
      <w:pPr>
        <w:keepNext w:val="0"/>
        <w:keepLines w:val="0"/>
        <w:widowControl w:val="0"/>
        <w:suppressLineNumbers w:val="0"/>
        <w:autoSpaceDE w:val="0"/>
        <w:autoSpaceDN/>
        <w:spacing w:before="0" w:beforeAutospacing="0" w:after="0" w:afterAutospacing="0" w:line="500" w:lineRule="exact"/>
        <w:ind w:left="0" w:right="0" w:firstLine="420" w:firstLineChars="200"/>
        <w:jc w:val="left"/>
        <w:rPr>
          <w:rFonts w:hint="eastAsia" w:ascii="Times New Roman" w:hAnsi="Times New Roman"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跟踪审计机构应及时认真地分析阅读工程量清单及控制价、招投标文件、合同（协议）、施工图纸、设计变更、技术签证等相关文件资料，在施工现场勘察测量和了解实际情况并做好记录。跟踪审计机构应根据建设单位、监理单位、施工单位提供的有关资料在招标人规定的工作日内完成审核工作，不得无故拖延时间</w:t>
      </w:r>
      <w:r>
        <w:rPr>
          <w:rFonts w:hint="eastAsia" w:ascii="宋体" w:hAnsi="宋体" w:eastAsia="宋体" w:cs="宋体"/>
          <w:kern w:val="2"/>
          <w:sz w:val="21"/>
          <w:szCs w:val="21"/>
          <w:highlight w:val="none"/>
        </w:rPr>
        <w:t>。</w:t>
      </w:r>
    </w:p>
    <w:p w14:paraId="1B5BA6A1">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lang w:val="en-US" w:eastAsia="zh-CN" w:bidi="ar"/>
        </w:rPr>
        <w:t>七、项目跟踪（结算）审计工作处罚</w:t>
      </w:r>
    </w:p>
    <w:p w14:paraId="281D02D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造价企业有下列情形之一的，可扣减审计服务费用，终止审计委托协议，提请行政主管部门给予警告、通报，有限期或无限期禁止从事我处项目等处罚，构成犯罪的，依法追究刑事责任：</w:t>
      </w:r>
    </w:p>
    <w:p w14:paraId="47DD84DC">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（1）工程结算审核报告存在重大失误或质量低劣；</w:t>
      </w:r>
    </w:p>
    <w:p w14:paraId="11B6ED3D">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（2）因自身工作错误或过失造成重大损失；</w:t>
      </w:r>
    </w:p>
    <w:p w14:paraId="569670A6">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（3）未经允许私自向施工单位透露审核情况或信息；</w:t>
      </w:r>
    </w:p>
    <w:p w14:paraId="213608A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（4）向相关单位或个人索要财物等谋取不正当利益；</w:t>
      </w:r>
    </w:p>
    <w:p w14:paraId="323A4F0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（5）单独或与其他各方串通舞弊、弄虚作假；</w:t>
      </w:r>
    </w:p>
    <w:p w14:paraId="65226A5B">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（6）其他违反法律法规和规定的行为。</w:t>
      </w:r>
    </w:p>
    <w:p w14:paraId="142B6A81">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kern w:val="2"/>
          <w:sz w:val="24"/>
          <w:szCs w:val="24"/>
          <w:highlight w:val="none"/>
        </w:rPr>
      </w:pPr>
      <w:r>
        <w:rPr>
          <w:rFonts w:hint="eastAsia" w:ascii="宋体" w:hAnsi="宋体" w:eastAsia="宋体" w:cs="宋体"/>
          <w:b/>
          <w:bCs/>
          <w:kern w:val="2"/>
          <w:sz w:val="24"/>
          <w:szCs w:val="24"/>
          <w:highlight w:val="none"/>
          <w:lang w:val="en-US" w:eastAsia="zh-CN" w:bidi="ar"/>
        </w:rPr>
        <w:t>八、甲乙双方的权利和义务</w:t>
      </w:r>
      <w:r>
        <w:rPr>
          <w:rFonts w:hint="eastAsia" w:ascii="宋体" w:hAnsi="宋体" w:eastAsia="宋体" w:cs="Times New Roman"/>
          <w:kern w:val="2"/>
          <w:sz w:val="24"/>
          <w:szCs w:val="24"/>
          <w:highlight w:val="none"/>
          <w:lang w:val="en-US" w:eastAsia="zh-CN" w:bidi="ar"/>
        </w:rPr>
        <w:t xml:space="preserve"> </w:t>
      </w:r>
    </w:p>
    <w:p w14:paraId="211EEBB5">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1.甲方权利和义务 </w:t>
      </w:r>
    </w:p>
    <w:p w14:paraId="22D5431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（1）甲方有权对乙方的跟踪（结算）审计项目实施监督，配合市跟审办对乙方审计工作程序、质量和效率等进行检查考核，考核结果作为奖惩和参与政府投资项目跟踪（结算）审计的重要依据；</w:t>
      </w:r>
    </w:p>
    <w:p w14:paraId="34690C11">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（2）项目跟踪（结算）审计过程中，甲方如发现乙方所派审计人员不符合要求或不能胜任岗位工作职责的，甲方有权要求乙方及时调换，或视情况给予相应的处理、处罚；</w:t>
      </w:r>
    </w:p>
    <w:p w14:paraId="30C1059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（3）甲方保证乙方审计服务费用的按时到位。</w:t>
      </w:r>
    </w:p>
    <w:p w14:paraId="2F978D8F">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2.乙方权利和义务</w:t>
      </w:r>
    </w:p>
    <w:p w14:paraId="5E4AA29A">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（1）乙方在完成审计任务后，有权及时取得审计服务费用；</w:t>
      </w:r>
    </w:p>
    <w:p w14:paraId="62CAEF5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（2）乙方须依照甲方工作要求及行业准则、规范，按时、保质、保量完成所承担的审计任务；</w:t>
      </w:r>
    </w:p>
    <w:p w14:paraId="5B92AEDC">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乙方必须对审计人员进行廉政教育，如发现有违反廉洁自律规定的行为，应立即更换人员，并对其严肃处理。同时，甲方可根据性质及情节，扣减相应审计服务费用，并可提请市跟审办没收相应的质量及廉政保证金。</w:t>
      </w:r>
    </w:p>
    <w:p w14:paraId="1E9901EB">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3、双方权力和责任</w:t>
      </w:r>
    </w:p>
    <w:p w14:paraId="53736E45">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3.1 招标人有权进行现场调查和监督，随时调阅有关资料，参与审计的查证、对账和答疑等有关活动。若跟踪审计机构未按委托协议完成业务或审计工作中出现严重差错，招标人有权追究跟踪审计机构法律和经济责任，并视情节扣减部分或全部审计服务费用，直至终止委托关系。</w:t>
      </w:r>
    </w:p>
    <w:p w14:paraId="271812A7">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3.2 招标人监督协议的执行，协调和处理履约过程中的问题，对跟踪审计机构审计工作开展情况进行考核，主要内容包括审计程序、现场履职、审计质量和效率、廉政纪律等方面，考核结果作为经济奖惩和以后参与政府投资项目审计服务的重要依据。</w:t>
      </w:r>
    </w:p>
    <w:p w14:paraId="2775E359">
      <w:pPr>
        <w:pStyle w:val="29"/>
        <w:keepNext w:val="0"/>
        <w:keepLines w:val="0"/>
        <w:widowControl/>
        <w:suppressLineNumbers w:val="0"/>
        <w:autoSpaceDE w:val="0"/>
        <w:autoSpaceDN/>
        <w:snapToGrid w:val="0"/>
        <w:spacing w:before="0" w:beforeAutospacing="0" w:after="0" w:afterAutospacing="0" w:line="48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3.3 跟踪审计机构应本着客观、公正、公平的原则，正确履行审计职责，同时承担相应的法律责任。对跟踪审计机构滥用职权、与施工单位串通、徇私舞弊、玩忽职守的，视情节，按有关规定对跟踪审计机构及其当事人进行处理处罚；情节严重，涉嫌违法违纪的，依法移送纪检、司法机关查处。</w:t>
      </w:r>
    </w:p>
    <w:p w14:paraId="5842F093">
      <w:pPr>
        <w:pStyle w:val="29"/>
        <w:keepNext w:val="0"/>
        <w:keepLines w:val="0"/>
        <w:widowControl w:val="0"/>
        <w:suppressLineNumbers w:val="0"/>
        <w:autoSpaceDE w:val="0"/>
        <w:autoSpaceDN/>
        <w:snapToGrid w:val="0"/>
        <w:spacing w:before="0" w:beforeAutospacing="0" w:after="0" w:afterAutospacing="0" w:line="500" w:lineRule="exact"/>
        <w:ind w:left="0" w:right="0" w:firstLine="482" w:firstLineChars="200"/>
        <w:jc w:val="left"/>
        <w:rPr>
          <w:rFonts w:hint="eastAsia"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lang w:val="en-US" w:eastAsia="zh-CN" w:bidi="ar"/>
        </w:rPr>
        <w:t>九、附则</w:t>
      </w:r>
    </w:p>
    <w:p w14:paraId="22086CE9">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1.本协议一式肆份，具有同等法律效力，甲方、乙方各执贰份。</w:t>
      </w:r>
    </w:p>
    <w:p w14:paraId="6027D390">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 xml:space="preserve">2.本协议未尽事宜，由甲乙双方协商解决。协商不成，提请滁州仲裁委员会裁决。  </w:t>
      </w:r>
    </w:p>
    <w:p w14:paraId="77E88452">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3.本合同自双方签章后生效。</w:t>
      </w:r>
    </w:p>
    <w:p w14:paraId="175560F7">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lang w:val="en-US" w:eastAsia="zh-CN" w:bidi="ar"/>
        </w:rPr>
        <w:t xml:space="preserve"> </w:t>
      </w:r>
    </w:p>
    <w:p w14:paraId="1D6468A0">
      <w:pPr>
        <w:pStyle w:val="29"/>
        <w:keepNext w:val="0"/>
        <w:keepLines w:val="0"/>
        <w:widowControl w:val="0"/>
        <w:suppressLineNumbers w:val="0"/>
        <w:autoSpaceDE w:val="0"/>
        <w:autoSpaceDN/>
        <w:snapToGrid w:val="0"/>
        <w:spacing w:before="0" w:beforeAutospacing="0" w:after="0" w:afterAutospacing="0" w:line="500" w:lineRule="exact"/>
        <w:ind w:left="0" w:right="0" w:firstLine="420" w:firstLineChars="200"/>
        <w:jc w:val="left"/>
        <w:rPr>
          <w:rFonts w:hint="eastAsia" w:ascii="宋体" w:hAnsi="宋体" w:eastAsia="宋体" w:cs="Times New Roman"/>
          <w:kern w:val="2"/>
          <w:sz w:val="21"/>
          <w:szCs w:val="21"/>
          <w:highlight w:val="none"/>
        </w:rPr>
      </w:pPr>
      <w:r>
        <w:rPr>
          <w:rFonts w:hint="eastAsia" w:ascii="宋体" w:hAnsi="宋体" w:eastAsia="宋体" w:cs="宋体"/>
          <w:kern w:val="2"/>
          <w:sz w:val="21"/>
          <w:szCs w:val="21"/>
          <w:highlight w:val="none"/>
          <w:lang w:val="en-US" w:eastAsia="zh-CN" w:bidi="ar"/>
        </w:rPr>
        <w:t>甲方（签章）</w:t>
      </w:r>
      <w:r>
        <w:rPr>
          <w:rFonts w:hint="eastAsia" w:ascii="宋体" w:hAnsi="宋体"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乙方（签章）</w:t>
      </w:r>
      <w:r>
        <w:rPr>
          <w:rFonts w:hint="eastAsia" w:ascii="宋体" w:hAnsi="宋体" w:eastAsia="宋体" w:cs="Times New Roman"/>
          <w:kern w:val="2"/>
          <w:sz w:val="21"/>
          <w:szCs w:val="21"/>
          <w:highlight w:val="none"/>
          <w:lang w:val="en-US" w:eastAsia="zh-CN" w:bidi="ar"/>
        </w:rPr>
        <w:t xml:space="preserve">           </w:t>
      </w:r>
    </w:p>
    <w:p w14:paraId="71F28EE4">
      <w:pPr>
        <w:keepNext w:val="0"/>
        <w:keepLines w:val="0"/>
        <w:widowControl w:val="0"/>
        <w:suppressLineNumbers w:val="0"/>
        <w:spacing w:before="0" w:beforeAutospacing="0" w:after="0" w:afterAutospacing="0"/>
        <w:ind w:left="0" w:right="0" w:firstLine="1470" w:firstLineChars="7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年</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日</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年</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eastAsia"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日</w:t>
      </w:r>
    </w:p>
    <w:p w14:paraId="3B040AC5">
      <w:pPr>
        <w:rPr>
          <w:rFonts w:hint="eastAsia" w:ascii="宋体" w:hAnsi="宋体"/>
          <w:b/>
          <w:color w:val="auto"/>
          <w:szCs w:val="21"/>
          <w:highlight w:val="none"/>
        </w:rPr>
      </w:pPr>
    </w:p>
    <w:bookmarkEnd w:id="74"/>
    <w:p w14:paraId="6A31B2FE">
      <w:pPr>
        <w:rPr>
          <w:rFonts w:hint="eastAsia" w:ascii="宋体"/>
          <w:b/>
          <w:color w:val="auto"/>
          <w:sz w:val="32"/>
          <w:szCs w:val="32"/>
          <w:highlight w:val="none"/>
        </w:rPr>
      </w:pP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bookmarkStart w:id="75" w:name="_Toc23341"/>
      <w:r>
        <w:rPr>
          <w:rFonts w:hint="eastAsia" w:ascii="宋体"/>
          <w:b/>
          <w:color w:val="auto"/>
          <w:sz w:val="32"/>
          <w:szCs w:val="32"/>
          <w:highlight w:val="none"/>
        </w:rPr>
        <w:t>第</w:t>
      </w:r>
      <w:r>
        <w:rPr>
          <w:rFonts w:hint="eastAsia" w:ascii="宋体"/>
          <w:b/>
          <w:color w:val="auto"/>
          <w:sz w:val="32"/>
          <w:szCs w:val="32"/>
          <w:highlight w:val="none"/>
          <w:lang w:val="en-US" w:eastAsia="zh-CN"/>
        </w:rPr>
        <w:t>五</w:t>
      </w:r>
      <w:r>
        <w:rPr>
          <w:rFonts w:hint="eastAsia" w:ascii="宋体"/>
          <w:b/>
          <w:color w:val="auto"/>
          <w:sz w:val="32"/>
          <w:szCs w:val="32"/>
          <w:highlight w:val="none"/>
        </w:rPr>
        <w:t>章  投标文件格式</w:t>
      </w:r>
      <w:bookmarkEnd w:id="75"/>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76" w:name="_Toc449028949"/>
      <w:bookmarkStart w:id="77"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76"/>
      <w:bookmarkEnd w:id="77"/>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jc w:val="center"/>
        <w:rPr>
          <w:rFonts w:hint="eastAsia" w:ascii="宋体"/>
          <w:color w:val="auto"/>
          <w:sz w:val="28"/>
          <w:szCs w:val="28"/>
          <w:highlight w:val="none"/>
        </w:rPr>
      </w:pPr>
      <w:r>
        <w:rPr>
          <w:rFonts w:hint="eastAsia" w:ascii="宋体"/>
          <w:color w:val="auto"/>
          <w:sz w:val="28"/>
          <w:szCs w:val="28"/>
          <w:highlight w:val="none"/>
        </w:rPr>
        <w:t>项目编号：</w:t>
      </w: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61E6DAA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（1）法定代表人身份证明及其有效身份证复印件（或法定代表人授权委托书及其有效身份证复印件）（格式见附件）；</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p w14:paraId="052A4512">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r>
        <w:rPr>
          <w:rFonts w:hint="eastAsia" w:ascii="宋体" w:hAnsi="宋体" w:cs="宋体-18030"/>
          <w:color w:val="auto"/>
          <w:szCs w:val="21"/>
          <w:highlight w:val="none"/>
          <w:lang w:eastAsia="zh-CN"/>
        </w:rPr>
        <w:t>；</w:t>
      </w:r>
    </w:p>
    <w:p w14:paraId="72E58AC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6</w:t>
      </w:r>
      <w:r>
        <w:rPr>
          <w:rFonts w:hint="eastAsia" w:ascii="宋体"/>
          <w:color w:val="auto"/>
          <w:szCs w:val="21"/>
          <w:highlight w:val="none"/>
          <w:lang w:eastAsia="zh-CN"/>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7）服务承诺书</w:t>
      </w:r>
      <w:r>
        <w:rPr>
          <w:rFonts w:hint="eastAsia" w:ascii="宋体"/>
          <w:color w:val="auto"/>
          <w:szCs w:val="21"/>
          <w:highlight w:val="none"/>
        </w:rPr>
        <w:t>（格式见附件）；</w:t>
      </w:r>
    </w:p>
    <w:p w14:paraId="358C999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8</w:t>
      </w:r>
      <w:r>
        <w:rPr>
          <w:rFonts w:hint="eastAsia" w:ascii="宋体" w:eastAsia="宋体"/>
          <w:color w:val="auto"/>
          <w:szCs w:val="21"/>
          <w:highlight w:val="none"/>
        </w:rPr>
        <w:t>）开标一览表（格式见附件）；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9</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10</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78" w:name="_Toc449028950"/>
      <w:bookmarkStart w:id="79" w:name="_Toc440443268"/>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w:t>
      </w:r>
    </w:p>
    <w:p w14:paraId="67F534F7">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4EBCC0C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26B03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en-US" w:eastAsia="zh-CN"/>
        </w:rPr>
        <w:t>我公司</w:t>
      </w:r>
      <w:r>
        <w:rPr>
          <w:rFonts w:hint="eastAsia" w:ascii="宋体" w:hAnsi="宋体"/>
          <w:color w:val="auto"/>
          <w:szCs w:val="21"/>
          <w:highlight w:val="none"/>
        </w:rPr>
        <w:t>（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20CDDA7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xml:space="preserve">投标单位（盖单位章）：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78"/>
    <w:bookmarkEnd w:id="79"/>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4"/>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DC8E2C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5006DC35">
      <w:pPr>
        <w:spacing w:line="360" w:lineRule="exact"/>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F1A3774">
      <w:pPr>
        <w:spacing w:line="360" w:lineRule="exact"/>
        <w:ind w:firstLine="472" w:firstLineChars="147"/>
        <w:jc w:val="center"/>
        <w:rPr>
          <w:rFonts w:hint="eastAsia" w:ascii="宋体"/>
          <w:b/>
          <w:color w:val="auto"/>
          <w:sz w:val="32"/>
          <w:szCs w:val="32"/>
          <w:highlight w:val="none"/>
        </w:rPr>
      </w:pPr>
    </w:p>
    <w:p w14:paraId="6FDF845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40256D9B">
      <w:pPr>
        <w:spacing w:line="360" w:lineRule="exact"/>
        <w:ind w:firstLine="354" w:firstLineChars="147"/>
        <w:rPr>
          <w:rFonts w:hint="eastAsia" w:ascii="宋体"/>
          <w:b/>
          <w:color w:val="auto"/>
          <w:sz w:val="24"/>
          <w:highlight w:val="none"/>
        </w:rPr>
      </w:pPr>
    </w:p>
    <w:p w14:paraId="6375EEC0">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001861F0">
      <w:pPr>
        <w:snapToGrid w:val="0"/>
        <w:spacing w:line="460" w:lineRule="exact"/>
        <w:ind w:left="2940" w:leftChars="1400" w:firstLine="720" w:firstLineChars="300"/>
        <w:rPr>
          <w:rFonts w:hint="eastAsia" w:ascii="宋体"/>
          <w:color w:val="auto"/>
          <w:sz w:val="24"/>
          <w:highlight w:val="none"/>
        </w:rPr>
      </w:pPr>
    </w:p>
    <w:tbl>
      <w:tblPr>
        <w:tblStyle w:val="3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2DD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744BEB63">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B233629">
            <w:pPr>
              <w:spacing w:line="360" w:lineRule="auto"/>
              <w:jc w:val="left"/>
              <w:rPr>
                <w:rFonts w:hint="eastAsia"/>
                <w:color w:val="auto"/>
                <w:sz w:val="24"/>
                <w:highlight w:val="none"/>
              </w:rPr>
            </w:pPr>
            <w:r>
              <w:rPr>
                <w:rFonts w:hint="eastAsia"/>
                <w:color w:val="auto"/>
                <w:sz w:val="24"/>
                <w:highlight w:val="none"/>
              </w:rPr>
              <w:t xml:space="preserve">         </w:t>
            </w:r>
          </w:p>
        </w:tc>
      </w:tr>
      <w:tr w14:paraId="17F76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3FEE16EF">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D40CC81">
            <w:pPr>
              <w:rPr>
                <w:rFonts w:hint="eastAsia" w:ascii="宋体"/>
                <w:color w:val="auto"/>
                <w:sz w:val="24"/>
                <w:highlight w:val="none"/>
              </w:rPr>
            </w:pPr>
          </w:p>
        </w:tc>
      </w:tr>
      <w:tr w14:paraId="7DC25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2325141">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4284BE6">
            <w:pPr>
              <w:pStyle w:val="18"/>
              <w:spacing w:line="460" w:lineRule="exact"/>
              <w:ind w:left="86" w:leftChars="41"/>
              <w:rPr>
                <w:rFonts w:hint="eastAsia" w:ascii="宋体" w:eastAsia="宋体"/>
                <w:color w:val="auto"/>
                <w:sz w:val="24"/>
                <w:szCs w:val="24"/>
                <w:highlight w:val="none"/>
              </w:rPr>
            </w:pPr>
          </w:p>
        </w:tc>
      </w:tr>
      <w:tr w14:paraId="71682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6" w:hRule="exact"/>
        </w:trPr>
        <w:tc>
          <w:tcPr>
            <w:tcW w:w="1803" w:type="dxa"/>
            <w:tcBorders>
              <w:right w:val="single" w:color="auto" w:sz="12" w:space="0"/>
            </w:tcBorders>
            <w:noWrap w:val="0"/>
            <w:vAlign w:val="center"/>
          </w:tcPr>
          <w:p w14:paraId="295EC245">
            <w:pPr>
              <w:spacing w:line="360" w:lineRule="auto"/>
              <w:jc w:val="center"/>
              <w:rPr>
                <w:rFonts w:ascii="宋体"/>
                <w:color w:val="auto"/>
                <w:sz w:val="24"/>
                <w:highlight w:val="none"/>
              </w:rPr>
            </w:pPr>
            <w:r>
              <w:rPr>
                <w:rFonts w:hint="eastAsia" w:ascii="宋体"/>
                <w:color w:val="auto"/>
                <w:sz w:val="24"/>
                <w:highlight w:val="none"/>
              </w:rPr>
              <w:t>投标报价\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5DCC4EAC">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投标报价（费率）（大写）：</w:t>
            </w:r>
            <w:r>
              <w:rPr>
                <w:rFonts w:hint="eastAsia" w:ascii="宋体"/>
                <w:color w:val="auto"/>
                <w:sz w:val="24"/>
                <w:highlight w:val="none"/>
                <w:u w:val="single"/>
                <w:lang w:val="en-US" w:eastAsia="zh-CN"/>
              </w:rPr>
              <w:t xml:space="preserve">                   </w:t>
            </w:r>
            <w:r>
              <w:rPr>
                <w:rFonts w:hint="eastAsia" w:ascii="宋体"/>
                <w:color w:val="auto"/>
                <w:sz w:val="24"/>
                <w:highlight w:val="none"/>
              </w:rPr>
              <w:t>；</w:t>
            </w:r>
          </w:p>
          <w:p w14:paraId="62CE92A6">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lang w:val="en-US" w:eastAsia="zh-CN"/>
              </w:rPr>
              <w:t xml:space="preserve">                   </w:t>
            </w:r>
            <w:r>
              <w:rPr>
                <w:rFonts w:hint="eastAsia" w:ascii="宋体"/>
                <w:color w:val="auto"/>
                <w:sz w:val="24"/>
                <w:highlight w:val="none"/>
                <w:u w:val="single"/>
                <w:lang w:eastAsia="zh-CN"/>
              </w:rPr>
              <w:t>%</w:t>
            </w:r>
            <w:r>
              <w:rPr>
                <w:rFonts w:hint="eastAsia" w:ascii="宋体"/>
                <w:color w:val="auto"/>
                <w:sz w:val="24"/>
                <w:highlight w:val="none"/>
              </w:rPr>
              <w:t>；</w:t>
            </w:r>
          </w:p>
          <w:p w14:paraId="5BA702FC">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color w:val="auto"/>
                <w:sz w:val="24"/>
                <w:highlight w:val="none"/>
                <w:lang w:val="en-US"/>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cs="Times New Roman"/>
                <w:color w:val="auto"/>
                <w:sz w:val="24"/>
                <w:highlight w:val="none"/>
                <w:lang w:val="en-US" w:eastAsia="zh-CN"/>
              </w:rPr>
              <w:t>自签订合同之日起至完成结算审核报告</w:t>
            </w:r>
            <w:r>
              <w:rPr>
                <w:rFonts w:hint="eastAsia" w:ascii="宋体" w:hAnsi="Times New Roman" w:eastAsia="宋体" w:cs="Times New Roman"/>
                <w:color w:val="auto"/>
                <w:sz w:val="24"/>
                <w:highlight w:val="none"/>
                <w:lang w:val="en-US" w:eastAsia="zh-CN"/>
              </w:rPr>
              <w:t>。</w:t>
            </w:r>
          </w:p>
        </w:tc>
      </w:tr>
    </w:tbl>
    <w:p w14:paraId="3BF1DAD6">
      <w:pPr>
        <w:snapToGrid w:val="0"/>
        <w:spacing w:line="460" w:lineRule="exact"/>
        <w:ind w:left="2940" w:leftChars="1400" w:firstLine="723" w:firstLineChars="300"/>
        <w:rPr>
          <w:rFonts w:hint="eastAsia" w:ascii="宋体"/>
          <w:b/>
          <w:color w:val="auto"/>
          <w:sz w:val="24"/>
          <w:highlight w:val="none"/>
        </w:rPr>
      </w:pPr>
    </w:p>
    <w:p w14:paraId="67881A0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7AF07014">
      <w:pPr>
        <w:snapToGrid w:val="0"/>
        <w:spacing w:before="312" w:beforeLines="100" w:after="312" w:afterLines="100" w:line="360" w:lineRule="auto"/>
        <w:jc w:val="center"/>
        <w:rPr>
          <w:rFonts w:hint="eastAsia" w:eastAsia="宋体" w:cs="Arial"/>
          <w:b/>
          <w:bCs/>
          <w:color w:val="auto"/>
          <w:sz w:val="30"/>
          <w:szCs w:val="30"/>
          <w:highlight w:val="none"/>
          <w:lang w:val="en-US" w:eastAsia="zh-CN"/>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日</w:t>
      </w:r>
    </w:p>
    <w:p w14:paraId="373B0AB5">
      <w:pPr>
        <w:spacing w:line="360" w:lineRule="exact"/>
        <w:rPr>
          <w:rFonts w:hint="eastAsia" w:ascii="宋体"/>
          <w:b/>
          <w:color w:val="auto"/>
          <w:sz w:val="30"/>
          <w:szCs w:val="30"/>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486EFF8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”的采购。我方授权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BF2BE95">
      <w:pPr>
        <w:spacing w:line="440" w:lineRule="exact"/>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2.我方愿意按照招标文件规定的各项要求，向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color w:val="auto"/>
          <w:sz w:val="24"/>
          <w:highlight w:val="none"/>
          <w:lang w:val="en-US" w:eastAsia="zh-CN"/>
        </w:rPr>
        <w:t>名称</w:t>
      </w:r>
      <w:r>
        <w:rPr>
          <w:rFonts w:hint="eastAsia" w:ascii="宋体" w:hAnsi="宋体" w:cs="宋体"/>
          <w:color w:val="auto"/>
          <w:sz w:val="24"/>
          <w:highlight w:val="none"/>
        </w:rPr>
        <w:t>）”项目的货物与服务，</w:t>
      </w:r>
      <w:r>
        <w:rPr>
          <w:rFonts w:hint="eastAsia" w:ascii="宋体" w:hAnsi="宋体" w:cs="宋体"/>
          <w:color w:val="auto"/>
          <w:sz w:val="24"/>
          <w:highlight w:val="none"/>
          <w:lang w:val="en-US" w:eastAsia="zh-CN"/>
        </w:rPr>
        <w:t>投标报价（费率）</w:t>
      </w:r>
      <w:r>
        <w:rPr>
          <w:rFonts w:hint="eastAsia" w:ascii="宋体" w:hAnsi="宋体" w:cs="宋体"/>
          <w:color w:val="auto"/>
          <w:sz w:val="24"/>
          <w:highlight w:val="none"/>
        </w:rPr>
        <w:t>为（大写）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（小写）     %（最多保留两位小数），项目负责人为          。</w:t>
      </w:r>
      <w:r>
        <w:rPr>
          <w:rFonts w:hint="eastAsia" w:ascii="宋体" w:hAnsi="宋体" w:cs="宋体"/>
          <w:color w:val="auto"/>
          <w:sz w:val="24"/>
          <w:highlight w:val="none"/>
          <w:lang w:val="en-US" w:eastAsia="zh-CN"/>
        </w:rPr>
        <w:t xml:space="preserve"> </w:t>
      </w:r>
    </w:p>
    <w:p w14:paraId="657C3C0D">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22358BF9">
      <w:pPr>
        <w:spacing w:line="440" w:lineRule="exact"/>
        <w:ind w:firstLine="480" w:firstLineChars="200"/>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1F5EF4E">
      <w:pPr>
        <w:spacing w:line="440" w:lineRule="exact"/>
        <w:ind w:firstLine="480" w:firstLineChars="200"/>
        <w:rPr>
          <w:rFonts w:hint="eastAsia" w:ascii="宋体"/>
          <w:color w:val="auto"/>
          <w:sz w:val="24"/>
          <w:highlight w:val="none"/>
        </w:rPr>
      </w:pPr>
      <w:r>
        <w:rPr>
          <w:rFonts w:hint="eastAsia" w:ascii="宋体"/>
          <w:color w:val="auto"/>
          <w:sz w:val="24"/>
          <w:highlight w:val="none"/>
        </w:rPr>
        <w:t>5、投标有效期为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90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77B6606">
      <w:pPr>
        <w:spacing w:line="440" w:lineRule="exact"/>
        <w:ind w:firstLine="480" w:firstLineChars="200"/>
        <w:rPr>
          <w:rFonts w:hint="eastAsia" w:ascii="宋体"/>
          <w:color w:val="auto"/>
          <w:sz w:val="24"/>
          <w:highlight w:val="none"/>
        </w:rPr>
      </w:pPr>
      <w:r>
        <w:rPr>
          <w:rFonts w:hint="eastAsia" w:ascii="宋体"/>
          <w:color w:val="auto"/>
          <w:sz w:val="24"/>
          <w:highlight w:val="none"/>
        </w:rPr>
        <w:t>6、我单位提供如下通讯地址：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05B0664D">
      <w:pPr>
        <w:spacing w:line="440" w:lineRule="exact"/>
        <w:rPr>
          <w:rFonts w:hint="eastAsia" w:ascii="宋体"/>
          <w:color w:val="auto"/>
          <w:sz w:val="24"/>
          <w:highlight w:val="none"/>
        </w:rPr>
      </w:pPr>
      <w:r>
        <w:rPr>
          <w:rFonts w:hint="eastAsia" w:ascii="宋体"/>
          <w:color w:val="auto"/>
          <w:sz w:val="24"/>
          <w:highlight w:val="none"/>
        </w:rPr>
        <w:t> </w:t>
      </w:r>
    </w:p>
    <w:p w14:paraId="7B105019">
      <w:pPr>
        <w:spacing w:line="440" w:lineRule="exact"/>
        <w:rPr>
          <w:rFonts w:hint="eastAsia" w:ascii="宋体"/>
          <w:color w:val="auto"/>
          <w:sz w:val="24"/>
          <w:highlight w:val="none"/>
        </w:rPr>
      </w:pPr>
    </w:p>
    <w:p w14:paraId="4B1AD082">
      <w:pPr>
        <w:spacing w:line="440" w:lineRule="exact"/>
        <w:jc w:val="righ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（盖单位章）</w:t>
      </w:r>
    </w:p>
    <w:p w14:paraId="3299D3FC">
      <w:pPr>
        <w:spacing w:line="440" w:lineRule="exact"/>
        <w:jc w:val="right"/>
        <w:rPr>
          <w:rFonts w:hint="eastAsia" w:ascii="宋体"/>
          <w:color w:val="auto"/>
          <w:sz w:val="24"/>
          <w:highlight w:val="none"/>
        </w:rPr>
      </w:pPr>
      <w:r>
        <w:rPr>
          <w:rFonts w:hint="eastAsia" w:ascii="宋体"/>
          <w:color w:val="auto"/>
          <w:sz w:val="24"/>
          <w:highlight w:val="none"/>
        </w:rPr>
        <w:t>投标人法定代表人：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730476D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BBA1D05">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p>
    <w:p w14:paraId="0C05209A">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2" w:type="default"/>
          <w:footerReference r:id="rId13" w:type="default"/>
          <w:pgSz w:w="11906" w:h="16838"/>
          <w:pgMar w:top="1440" w:right="1800" w:bottom="1440" w:left="1600" w:header="851" w:footer="992" w:gutter="0"/>
          <w:pgNumType w:fmt="decimal"/>
          <w:cols w:space="720" w:num="1"/>
          <w:docGrid w:type="lines" w:linePitch="312" w:charSpace="0"/>
        </w:sectPr>
      </w:pPr>
    </w:p>
    <w:bookmarkEnd w:id="71"/>
    <w:bookmarkEnd w:id="72"/>
    <w:p w14:paraId="59C5F8C7">
      <w:pPr>
        <w:spacing w:line="440" w:lineRule="exact"/>
        <w:jc w:val="center"/>
        <w:outlineLvl w:val="0"/>
        <w:rPr>
          <w:rFonts w:hint="eastAsia" w:ascii="宋体"/>
          <w:b/>
          <w:color w:val="auto"/>
          <w:sz w:val="32"/>
          <w:szCs w:val="32"/>
          <w:highlight w:val="none"/>
        </w:rPr>
      </w:pPr>
      <w:bookmarkStart w:id="80" w:name="_Toc449028957"/>
      <w:bookmarkStart w:id="81" w:name="_Toc58430333"/>
      <w:bookmarkStart w:id="82" w:name="_Toc13076"/>
      <w:r>
        <w:rPr>
          <w:rFonts w:hint="eastAsia" w:ascii="宋体"/>
          <w:b/>
          <w:color w:val="auto"/>
          <w:sz w:val="32"/>
          <w:szCs w:val="32"/>
          <w:highlight w:val="none"/>
          <w:lang w:val="en-US" w:eastAsia="zh-CN"/>
        </w:rPr>
        <w:t>第六章  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80"/>
      <w:bookmarkEnd w:id="81"/>
      <w:bookmarkEnd w:id="82"/>
    </w:p>
    <w:p w14:paraId="4A117D56">
      <w:pPr>
        <w:spacing w:line="440" w:lineRule="exact"/>
        <w:rPr>
          <w:rFonts w:hint="eastAsia" w:ascii="宋体"/>
          <w:color w:val="auto"/>
          <w:sz w:val="24"/>
          <w:highlight w:val="none"/>
          <w:u w:val="single"/>
        </w:rPr>
      </w:pPr>
    </w:p>
    <w:tbl>
      <w:tblPr>
        <w:tblStyle w:val="35"/>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u w:val="single"/>
                <w:lang w:eastAsia="zh-CN"/>
              </w:rPr>
              <w:t>琅琊山清风明月楼、深秀湖水榭EPCO项目审计</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安徽省琅琊山旅游发展有限公司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代工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0550-3525595</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办</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人：</w:t>
            </w:r>
            <w:r>
              <w:rPr>
                <w:rFonts w:hint="eastAsia" w:ascii="宋体" w:cs="宋体"/>
                <w:color w:val="auto"/>
                <w:sz w:val="28"/>
                <w:szCs w:val="28"/>
                <w:highlight w:val="none"/>
                <w:lang w:eastAsia="zh-CN"/>
              </w:rPr>
              <w:t>胡国庆</w:t>
            </w:r>
          </w:p>
          <w:p w14:paraId="033529C4">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0550-3519517、18005500950</w:t>
            </w:r>
          </w:p>
          <w:p w14:paraId="2348145A">
            <w:pPr>
              <w:spacing w:line="520" w:lineRule="exact"/>
              <w:ind w:firstLine="6300" w:firstLineChars="2250"/>
              <w:rPr>
                <w:rFonts w:hint="eastAsia" w:ascii="宋体" w:cs="宋体"/>
                <w:color w:val="auto"/>
                <w:sz w:val="28"/>
                <w:szCs w:val="28"/>
                <w:highlight w:val="none"/>
              </w:rPr>
            </w:pPr>
          </w:p>
          <w:p w14:paraId="0F0721F1">
            <w:pPr>
              <w:pStyle w:val="34"/>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DokChampa">
    <w:altName w:val="Leelawadee UI"/>
    <w:panose1 w:val="020B0604020202020204"/>
    <w:charset w:val="00"/>
    <w:family w:val="swiss"/>
    <w:pitch w:val="default"/>
    <w:sig w:usb0="00000000" w:usb1="00000000" w:usb2="00000000" w:usb3="00000000" w:csb0="4001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9"/>
      </w:rPr>
    </w:pPr>
    <w:r>
      <w:fldChar w:fldCharType="begin"/>
    </w:r>
    <w:r>
      <w:rPr>
        <w:rStyle w:val="39"/>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9"/>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9"/>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8F8E">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7C8C">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A7C8C">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7927">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0CF"/>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140146"/>
    <w:rsid w:val="0123584C"/>
    <w:rsid w:val="012375FA"/>
    <w:rsid w:val="01255120"/>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F0F02"/>
    <w:rsid w:val="02AB3F80"/>
    <w:rsid w:val="02CD5A6F"/>
    <w:rsid w:val="02D50DC8"/>
    <w:rsid w:val="02F92D08"/>
    <w:rsid w:val="02FF011F"/>
    <w:rsid w:val="0306625F"/>
    <w:rsid w:val="0314369E"/>
    <w:rsid w:val="032B6C3A"/>
    <w:rsid w:val="03433F84"/>
    <w:rsid w:val="034D095E"/>
    <w:rsid w:val="034D4E02"/>
    <w:rsid w:val="03636F78"/>
    <w:rsid w:val="037D56E7"/>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7013EC"/>
    <w:rsid w:val="05713E65"/>
    <w:rsid w:val="05777F14"/>
    <w:rsid w:val="057F7413"/>
    <w:rsid w:val="059302F0"/>
    <w:rsid w:val="05B55DC4"/>
    <w:rsid w:val="05C56ED2"/>
    <w:rsid w:val="05EB7E30"/>
    <w:rsid w:val="0600615C"/>
    <w:rsid w:val="0619721E"/>
    <w:rsid w:val="061F375B"/>
    <w:rsid w:val="06235109"/>
    <w:rsid w:val="062459A5"/>
    <w:rsid w:val="062478E7"/>
    <w:rsid w:val="062B6848"/>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269DC"/>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9B68C7"/>
    <w:rsid w:val="09AB5942"/>
    <w:rsid w:val="09B064D1"/>
    <w:rsid w:val="09BF2ED7"/>
    <w:rsid w:val="09BF7674"/>
    <w:rsid w:val="09F45FD8"/>
    <w:rsid w:val="09F806A3"/>
    <w:rsid w:val="0A0B50CF"/>
    <w:rsid w:val="0A0D1190"/>
    <w:rsid w:val="0A164D7F"/>
    <w:rsid w:val="0A2456C5"/>
    <w:rsid w:val="0A2543E3"/>
    <w:rsid w:val="0A474057"/>
    <w:rsid w:val="0A53598C"/>
    <w:rsid w:val="0A5D6F88"/>
    <w:rsid w:val="0A641E3D"/>
    <w:rsid w:val="0AA34B1B"/>
    <w:rsid w:val="0AAD7CD9"/>
    <w:rsid w:val="0AB6328D"/>
    <w:rsid w:val="0ABD15CE"/>
    <w:rsid w:val="0ABF263A"/>
    <w:rsid w:val="0AD12B8F"/>
    <w:rsid w:val="0AE0387E"/>
    <w:rsid w:val="0AF618DB"/>
    <w:rsid w:val="0B0A6314"/>
    <w:rsid w:val="0B183F48"/>
    <w:rsid w:val="0B330D82"/>
    <w:rsid w:val="0B335CF7"/>
    <w:rsid w:val="0B470389"/>
    <w:rsid w:val="0B5C5BE2"/>
    <w:rsid w:val="0B6B051B"/>
    <w:rsid w:val="0B6E6353"/>
    <w:rsid w:val="0B7B2E88"/>
    <w:rsid w:val="0B8415DD"/>
    <w:rsid w:val="0B842ECF"/>
    <w:rsid w:val="0BA53A0C"/>
    <w:rsid w:val="0BA8462C"/>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27B9E"/>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6016F"/>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2031EA5"/>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73911"/>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3F0DBD"/>
    <w:rsid w:val="17435B9A"/>
    <w:rsid w:val="17481711"/>
    <w:rsid w:val="17530278"/>
    <w:rsid w:val="1770488D"/>
    <w:rsid w:val="177251DB"/>
    <w:rsid w:val="179F403B"/>
    <w:rsid w:val="17A04DF8"/>
    <w:rsid w:val="17B46DA6"/>
    <w:rsid w:val="17E07B23"/>
    <w:rsid w:val="17F04282"/>
    <w:rsid w:val="181D21AB"/>
    <w:rsid w:val="18241EFA"/>
    <w:rsid w:val="182551D2"/>
    <w:rsid w:val="18302625"/>
    <w:rsid w:val="183C5221"/>
    <w:rsid w:val="184B770B"/>
    <w:rsid w:val="18553B5A"/>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10480"/>
    <w:rsid w:val="1AFA71C6"/>
    <w:rsid w:val="1B1E523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AA7140"/>
    <w:rsid w:val="1CCB47C0"/>
    <w:rsid w:val="1CE27F12"/>
    <w:rsid w:val="1CF3330B"/>
    <w:rsid w:val="1CF74DC1"/>
    <w:rsid w:val="1D0B3F40"/>
    <w:rsid w:val="1D0C2883"/>
    <w:rsid w:val="1D1F4CC2"/>
    <w:rsid w:val="1D3B1144"/>
    <w:rsid w:val="1D436C7E"/>
    <w:rsid w:val="1D44297A"/>
    <w:rsid w:val="1D4E4561"/>
    <w:rsid w:val="1D703128"/>
    <w:rsid w:val="1D7C5FBA"/>
    <w:rsid w:val="1D81336E"/>
    <w:rsid w:val="1D8B67FB"/>
    <w:rsid w:val="1D9F19C4"/>
    <w:rsid w:val="1DA575B0"/>
    <w:rsid w:val="1DAF24EA"/>
    <w:rsid w:val="1DB375C5"/>
    <w:rsid w:val="1DB46449"/>
    <w:rsid w:val="1DBC69B5"/>
    <w:rsid w:val="1DC332DD"/>
    <w:rsid w:val="1DC53ABB"/>
    <w:rsid w:val="1DDB0E18"/>
    <w:rsid w:val="1DE80C95"/>
    <w:rsid w:val="1DEF6D8A"/>
    <w:rsid w:val="1E061E25"/>
    <w:rsid w:val="1E226345"/>
    <w:rsid w:val="1E37428D"/>
    <w:rsid w:val="1E384EE7"/>
    <w:rsid w:val="1E3A6C06"/>
    <w:rsid w:val="1E424E8A"/>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3B4A10"/>
    <w:rsid w:val="1F412ACD"/>
    <w:rsid w:val="1F703EFB"/>
    <w:rsid w:val="1F717B90"/>
    <w:rsid w:val="1F896D6A"/>
    <w:rsid w:val="1FA51C58"/>
    <w:rsid w:val="1FA7649E"/>
    <w:rsid w:val="1FBE7B22"/>
    <w:rsid w:val="1FCD4EA9"/>
    <w:rsid w:val="1FF02C39"/>
    <w:rsid w:val="20061562"/>
    <w:rsid w:val="200A7EAB"/>
    <w:rsid w:val="2014753F"/>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6F7F4F"/>
    <w:rsid w:val="23887A65"/>
    <w:rsid w:val="238E2BA1"/>
    <w:rsid w:val="239A6033"/>
    <w:rsid w:val="23A418A2"/>
    <w:rsid w:val="23AD1279"/>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9E5066"/>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C10491"/>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221F7E"/>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01001"/>
    <w:rsid w:val="2A567D20"/>
    <w:rsid w:val="2A6F4131"/>
    <w:rsid w:val="2A782154"/>
    <w:rsid w:val="2A821832"/>
    <w:rsid w:val="2A8C2357"/>
    <w:rsid w:val="2A8E16D9"/>
    <w:rsid w:val="2AA77572"/>
    <w:rsid w:val="2ABC3312"/>
    <w:rsid w:val="2AC50660"/>
    <w:rsid w:val="2ACE42A1"/>
    <w:rsid w:val="2AD156A5"/>
    <w:rsid w:val="2AD57308"/>
    <w:rsid w:val="2AD73080"/>
    <w:rsid w:val="2AE44BDB"/>
    <w:rsid w:val="2AFA0B1C"/>
    <w:rsid w:val="2B1334DC"/>
    <w:rsid w:val="2B1505A0"/>
    <w:rsid w:val="2B165951"/>
    <w:rsid w:val="2B165956"/>
    <w:rsid w:val="2B214434"/>
    <w:rsid w:val="2B3202B6"/>
    <w:rsid w:val="2B3559A3"/>
    <w:rsid w:val="2B3B716B"/>
    <w:rsid w:val="2B471B7C"/>
    <w:rsid w:val="2B4E474F"/>
    <w:rsid w:val="2B553EE9"/>
    <w:rsid w:val="2B605F51"/>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2A52C6"/>
    <w:rsid w:val="2D4D7629"/>
    <w:rsid w:val="2D880661"/>
    <w:rsid w:val="2D8F1DD6"/>
    <w:rsid w:val="2D915A33"/>
    <w:rsid w:val="2D954534"/>
    <w:rsid w:val="2D9800A5"/>
    <w:rsid w:val="2DC24F16"/>
    <w:rsid w:val="2DC3712A"/>
    <w:rsid w:val="2DE171DF"/>
    <w:rsid w:val="2DEF1551"/>
    <w:rsid w:val="2E0200C9"/>
    <w:rsid w:val="2E3507E9"/>
    <w:rsid w:val="2E3C6ABB"/>
    <w:rsid w:val="2E4345B4"/>
    <w:rsid w:val="2E5A3DAC"/>
    <w:rsid w:val="2E5D53FD"/>
    <w:rsid w:val="2E61599C"/>
    <w:rsid w:val="2E6332CF"/>
    <w:rsid w:val="2E6E7857"/>
    <w:rsid w:val="2E781BDD"/>
    <w:rsid w:val="2E7D7A9A"/>
    <w:rsid w:val="2EA63495"/>
    <w:rsid w:val="2EBA0298"/>
    <w:rsid w:val="2EBF09B3"/>
    <w:rsid w:val="2ED22F7C"/>
    <w:rsid w:val="2ED73784"/>
    <w:rsid w:val="2EDF3673"/>
    <w:rsid w:val="2EE213C2"/>
    <w:rsid w:val="2EFC30B5"/>
    <w:rsid w:val="2F0529C7"/>
    <w:rsid w:val="2F486989"/>
    <w:rsid w:val="2F4C403D"/>
    <w:rsid w:val="2F5E3D21"/>
    <w:rsid w:val="2F653004"/>
    <w:rsid w:val="2F684953"/>
    <w:rsid w:val="2F8135BA"/>
    <w:rsid w:val="2F8D622E"/>
    <w:rsid w:val="2F9037FD"/>
    <w:rsid w:val="2F917CA1"/>
    <w:rsid w:val="2F982E42"/>
    <w:rsid w:val="2FAD4BB7"/>
    <w:rsid w:val="2FBC4D4D"/>
    <w:rsid w:val="2FCB7EDC"/>
    <w:rsid w:val="2FD951A4"/>
    <w:rsid w:val="2FDB7940"/>
    <w:rsid w:val="2FE60F0B"/>
    <w:rsid w:val="2FFE3400"/>
    <w:rsid w:val="300541EB"/>
    <w:rsid w:val="301B0290"/>
    <w:rsid w:val="301F52AD"/>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6B18AB"/>
    <w:rsid w:val="317118EE"/>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35426"/>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B139FE"/>
    <w:rsid w:val="36C3270A"/>
    <w:rsid w:val="3701395E"/>
    <w:rsid w:val="371448CE"/>
    <w:rsid w:val="371D2877"/>
    <w:rsid w:val="372A0A3B"/>
    <w:rsid w:val="372A4537"/>
    <w:rsid w:val="373C4996"/>
    <w:rsid w:val="374309BB"/>
    <w:rsid w:val="374A1E98"/>
    <w:rsid w:val="37533C0B"/>
    <w:rsid w:val="375F68D7"/>
    <w:rsid w:val="37794D4F"/>
    <w:rsid w:val="37A02925"/>
    <w:rsid w:val="37B3277F"/>
    <w:rsid w:val="37B34CA4"/>
    <w:rsid w:val="37BD7469"/>
    <w:rsid w:val="37BE35FD"/>
    <w:rsid w:val="37D9327F"/>
    <w:rsid w:val="37E93A81"/>
    <w:rsid w:val="37F75EE1"/>
    <w:rsid w:val="37F92167"/>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C708A8"/>
    <w:rsid w:val="3AD2116E"/>
    <w:rsid w:val="3AF37A62"/>
    <w:rsid w:val="3AF61300"/>
    <w:rsid w:val="3AFB6916"/>
    <w:rsid w:val="3AFD73E8"/>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8F7316"/>
    <w:rsid w:val="3CA1704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24689A"/>
    <w:rsid w:val="3E557A55"/>
    <w:rsid w:val="3E5D2794"/>
    <w:rsid w:val="3E612F34"/>
    <w:rsid w:val="3E8134BC"/>
    <w:rsid w:val="3E864749"/>
    <w:rsid w:val="3E8D1F7B"/>
    <w:rsid w:val="3E9073D3"/>
    <w:rsid w:val="3EAC582F"/>
    <w:rsid w:val="3EBE4AC0"/>
    <w:rsid w:val="3EC80F65"/>
    <w:rsid w:val="3ED35D96"/>
    <w:rsid w:val="3EE0310F"/>
    <w:rsid w:val="3F192FDE"/>
    <w:rsid w:val="3F21764F"/>
    <w:rsid w:val="3F270382"/>
    <w:rsid w:val="3F4D34B9"/>
    <w:rsid w:val="3F5A1013"/>
    <w:rsid w:val="3F5C61BC"/>
    <w:rsid w:val="3F7E18C4"/>
    <w:rsid w:val="3F821E5A"/>
    <w:rsid w:val="3F826617"/>
    <w:rsid w:val="3F882148"/>
    <w:rsid w:val="3FA94B93"/>
    <w:rsid w:val="3FAD5B09"/>
    <w:rsid w:val="3FAF5707"/>
    <w:rsid w:val="3FD61700"/>
    <w:rsid w:val="3FD85683"/>
    <w:rsid w:val="3FF130F6"/>
    <w:rsid w:val="3FF878C8"/>
    <w:rsid w:val="3FFA5B87"/>
    <w:rsid w:val="3FFF6096"/>
    <w:rsid w:val="40044B90"/>
    <w:rsid w:val="40153FD6"/>
    <w:rsid w:val="402042D4"/>
    <w:rsid w:val="40273D0A"/>
    <w:rsid w:val="40310071"/>
    <w:rsid w:val="403542CB"/>
    <w:rsid w:val="4045485F"/>
    <w:rsid w:val="405640FA"/>
    <w:rsid w:val="4081166C"/>
    <w:rsid w:val="40975D69"/>
    <w:rsid w:val="409E221E"/>
    <w:rsid w:val="40A01D3A"/>
    <w:rsid w:val="40A54574"/>
    <w:rsid w:val="40C652D1"/>
    <w:rsid w:val="40C92CD2"/>
    <w:rsid w:val="40E56385"/>
    <w:rsid w:val="40EE1315"/>
    <w:rsid w:val="410302D3"/>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E063BC"/>
    <w:rsid w:val="41E27935"/>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037FA"/>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D3DAD"/>
    <w:rsid w:val="47705F96"/>
    <w:rsid w:val="479C5383"/>
    <w:rsid w:val="479F646B"/>
    <w:rsid w:val="47A3636C"/>
    <w:rsid w:val="47A56FB4"/>
    <w:rsid w:val="47AD7CF1"/>
    <w:rsid w:val="47B9547A"/>
    <w:rsid w:val="47D67F88"/>
    <w:rsid w:val="47DB48C2"/>
    <w:rsid w:val="47F20CC9"/>
    <w:rsid w:val="4803505C"/>
    <w:rsid w:val="480831B5"/>
    <w:rsid w:val="480D66CD"/>
    <w:rsid w:val="480F105A"/>
    <w:rsid w:val="48194880"/>
    <w:rsid w:val="481A5421"/>
    <w:rsid w:val="482849BA"/>
    <w:rsid w:val="48286871"/>
    <w:rsid w:val="483D056E"/>
    <w:rsid w:val="483F2BC9"/>
    <w:rsid w:val="485A1120"/>
    <w:rsid w:val="488C32A4"/>
    <w:rsid w:val="48A7549C"/>
    <w:rsid w:val="48B545A9"/>
    <w:rsid w:val="48BA15B1"/>
    <w:rsid w:val="48D273AC"/>
    <w:rsid w:val="48D76D49"/>
    <w:rsid w:val="48E97759"/>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43F5"/>
    <w:rsid w:val="4A666565"/>
    <w:rsid w:val="4A7B66E4"/>
    <w:rsid w:val="4A7D5113"/>
    <w:rsid w:val="4A7F4FCB"/>
    <w:rsid w:val="4A812A30"/>
    <w:rsid w:val="4A89523C"/>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A58BA"/>
    <w:rsid w:val="4D0D2958"/>
    <w:rsid w:val="4D145493"/>
    <w:rsid w:val="4D16313C"/>
    <w:rsid w:val="4D2832EB"/>
    <w:rsid w:val="4D2D4855"/>
    <w:rsid w:val="4D393332"/>
    <w:rsid w:val="4D3B01A7"/>
    <w:rsid w:val="4D4746C5"/>
    <w:rsid w:val="4D4C64AE"/>
    <w:rsid w:val="4D4D1254"/>
    <w:rsid w:val="4D5A127B"/>
    <w:rsid w:val="4D5A74CD"/>
    <w:rsid w:val="4D6759FB"/>
    <w:rsid w:val="4D6E3517"/>
    <w:rsid w:val="4DB14B03"/>
    <w:rsid w:val="4DB639B0"/>
    <w:rsid w:val="4DB7491F"/>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A72771"/>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9B0528"/>
    <w:rsid w:val="50B95E75"/>
    <w:rsid w:val="50C54952"/>
    <w:rsid w:val="50CA6916"/>
    <w:rsid w:val="50CD6207"/>
    <w:rsid w:val="51015649"/>
    <w:rsid w:val="51034416"/>
    <w:rsid w:val="510A745C"/>
    <w:rsid w:val="512151F2"/>
    <w:rsid w:val="512656C9"/>
    <w:rsid w:val="5139564B"/>
    <w:rsid w:val="5148683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38556C"/>
    <w:rsid w:val="523E1BC7"/>
    <w:rsid w:val="523F6E00"/>
    <w:rsid w:val="524B22B7"/>
    <w:rsid w:val="52692D61"/>
    <w:rsid w:val="527728CF"/>
    <w:rsid w:val="528172AA"/>
    <w:rsid w:val="52A636F2"/>
    <w:rsid w:val="52B8492E"/>
    <w:rsid w:val="52CD201A"/>
    <w:rsid w:val="52DB316A"/>
    <w:rsid w:val="52DF5523"/>
    <w:rsid w:val="52F1442F"/>
    <w:rsid w:val="530C01BA"/>
    <w:rsid w:val="530F02BC"/>
    <w:rsid w:val="53130F14"/>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A656ED"/>
    <w:rsid w:val="54B5148C"/>
    <w:rsid w:val="54DB146B"/>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17098"/>
    <w:rsid w:val="55A21094"/>
    <w:rsid w:val="55B24181"/>
    <w:rsid w:val="55B96238"/>
    <w:rsid w:val="560501F2"/>
    <w:rsid w:val="560B3A5A"/>
    <w:rsid w:val="561548D9"/>
    <w:rsid w:val="564447FE"/>
    <w:rsid w:val="56466840"/>
    <w:rsid w:val="565467A5"/>
    <w:rsid w:val="56644224"/>
    <w:rsid w:val="566559D7"/>
    <w:rsid w:val="5666680E"/>
    <w:rsid w:val="5669634B"/>
    <w:rsid w:val="56735DD8"/>
    <w:rsid w:val="567A473C"/>
    <w:rsid w:val="5685797A"/>
    <w:rsid w:val="568C1A21"/>
    <w:rsid w:val="569F4D37"/>
    <w:rsid w:val="56AB2F3F"/>
    <w:rsid w:val="56C42FEC"/>
    <w:rsid w:val="56EA73AE"/>
    <w:rsid w:val="56F0657B"/>
    <w:rsid w:val="56F20621"/>
    <w:rsid w:val="56F20776"/>
    <w:rsid w:val="56F37AB8"/>
    <w:rsid w:val="56FC15F5"/>
    <w:rsid w:val="57122BC6"/>
    <w:rsid w:val="571E156B"/>
    <w:rsid w:val="572D6623"/>
    <w:rsid w:val="57364C46"/>
    <w:rsid w:val="5742757D"/>
    <w:rsid w:val="575A47E7"/>
    <w:rsid w:val="575C02E5"/>
    <w:rsid w:val="577473DD"/>
    <w:rsid w:val="57911484"/>
    <w:rsid w:val="57B40121"/>
    <w:rsid w:val="57BE00CF"/>
    <w:rsid w:val="57C33EC0"/>
    <w:rsid w:val="57CF104F"/>
    <w:rsid w:val="57CF47C9"/>
    <w:rsid w:val="57D939CD"/>
    <w:rsid w:val="57F66847"/>
    <w:rsid w:val="57FF0946"/>
    <w:rsid w:val="58075B26"/>
    <w:rsid w:val="580A355F"/>
    <w:rsid w:val="580D1F08"/>
    <w:rsid w:val="58127ED2"/>
    <w:rsid w:val="58172F6B"/>
    <w:rsid w:val="58281E5B"/>
    <w:rsid w:val="582C247D"/>
    <w:rsid w:val="583D29A8"/>
    <w:rsid w:val="58406187"/>
    <w:rsid w:val="584E614D"/>
    <w:rsid w:val="58537A63"/>
    <w:rsid w:val="58643CC2"/>
    <w:rsid w:val="587E34DF"/>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92129"/>
    <w:rsid w:val="5AF102AB"/>
    <w:rsid w:val="5B163201"/>
    <w:rsid w:val="5B1A473F"/>
    <w:rsid w:val="5B2E3D47"/>
    <w:rsid w:val="5B37709F"/>
    <w:rsid w:val="5B6149A2"/>
    <w:rsid w:val="5B636D7E"/>
    <w:rsid w:val="5B7A6DEA"/>
    <w:rsid w:val="5B7E6A7C"/>
    <w:rsid w:val="5B910ABF"/>
    <w:rsid w:val="5BA20303"/>
    <w:rsid w:val="5BB26726"/>
    <w:rsid w:val="5BB701E0"/>
    <w:rsid w:val="5BB926FC"/>
    <w:rsid w:val="5BF54320"/>
    <w:rsid w:val="5C1633F6"/>
    <w:rsid w:val="5C246971"/>
    <w:rsid w:val="5C384E7D"/>
    <w:rsid w:val="5C4867F4"/>
    <w:rsid w:val="5C49715E"/>
    <w:rsid w:val="5C6737F1"/>
    <w:rsid w:val="5C8F5ED1"/>
    <w:rsid w:val="5C936557"/>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057CC"/>
    <w:rsid w:val="5DE33611"/>
    <w:rsid w:val="5DE50E0B"/>
    <w:rsid w:val="5DEA03F9"/>
    <w:rsid w:val="5DEB5F1F"/>
    <w:rsid w:val="5DEB608F"/>
    <w:rsid w:val="5E0266B8"/>
    <w:rsid w:val="5E211941"/>
    <w:rsid w:val="5E2719AF"/>
    <w:rsid w:val="5E2C7B5F"/>
    <w:rsid w:val="5E324CBD"/>
    <w:rsid w:val="5E37388C"/>
    <w:rsid w:val="5E386485"/>
    <w:rsid w:val="5E3878D6"/>
    <w:rsid w:val="5E49652D"/>
    <w:rsid w:val="5E522721"/>
    <w:rsid w:val="5E55621E"/>
    <w:rsid w:val="5E556A51"/>
    <w:rsid w:val="5E6C7060"/>
    <w:rsid w:val="5E8F699E"/>
    <w:rsid w:val="5EA7453C"/>
    <w:rsid w:val="5EAE0F71"/>
    <w:rsid w:val="5ED27BE1"/>
    <w:rsid w:val="5ED35BB4"/>
    <w:rsid w:val="5ED75612"/>
    <w:rsid w:val="5F1E2A19"/>
    <w:rsid w:val="5F1F1B33"/>
    <w:rsid w:val="5F2136D8"/>
    <w:rsid w:val="5F2D0AE0"/>
    <w:rsid w:val="5F432EF8"/>
    <w:rsid w:val="5F47659C"/>
    <w:rsid w:val="5F4D7ADC"/>
    <w:rsid w:val="5F526256"/>
    <w:rsid w:val="5F555D46"/>
    <w:rsid w:val="5F5B16CF"/>
    <w:rsid w:val="5F765539"/>
    <w:rsid w:val="5F7E529D"/>
    <w:rsid w:val="5F8C1714"/>
    <w:rsid w:val="5FB40CBE"/>
    <w:rsid w:val="5FC2239B"/>
    <w:rsid w:val="5FCA04E2"/>
    <w:rsid w:val="5FDF1F8A"/>
    <w:rsid w:val="5FE356A8"/>
    <w:rsid w:val="5FF40024"/>
    <w:rsid w:val="602676E1"/>
    <w:rsid w:val="602E4F74"/>
    <w:rsid w:val="603418A5"/>
    <w:rsid w:val="60366D51"/>
    <w:rsid w:val="604D4C6F"/>
    <w:rsid w:val="606002D2"/>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6248C"/>
    <w:rsid w:val="61706E67"/>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4B94"/>
    <w:rsid w:val="62922E0D"/>
    <w:rsid w:val="62C610B8"/>
    <w:rsid w:val="62C6262C"/>
    <w:rsid w:val="62E21FE6"/>
    <w:rsid w:val="62E224E8"/>
    <w:rsid w:val="62F13FD7"/>
    <w:rsid w:val="62FE497B"/>
    <w:rsid w:val="62FF03D9"/>
    <w:rsid w:val="62FF64C2"/>
    <w:rsid w:val="630E4B89"/>
    <w:rsid w:val="63185A08"/>
    <w:rsid w:val="633345F0"/>
    <w:rsid w:val="63352116"/>
    <w:rsid w:val="63377DE5"/>
    <w:rsid w:val="633B5253"/>
    <w:rsid w:val="633C769A"/>
    <w:rsid w:val="63452A53"/>
    <w:rsid w:val="63485127"/>
    <w:rsid w:val="635B58F5"/>
    <w:rsid w:val="637531A0"/>
    <w:rsid w:val="63860BC4"/>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15E63"/>
    <w:rsid w:val="643A7DF2"/>
    <w:rsid w:val="644D7933"/>
    <w:rsid w:val="645152C2"/>
    <w:rsid w:val="64607667"/>
    <w:rsid w:val="64800394"/>
    <w:rsid w:val="648814BB"/>
    <w:rsid w:val="64975171"/>
    <w:rsid w:val="649D3FE5"/>
    <w:rsid w:val="64A15589"/>
    <w:rsid w:val="64AA0614"/>
    <w:rsid w:val="64AB4ABB"/>
    <w:rsid w:val="64BE5FF1"/>
    <w:rsid w:val="64C549E2"/>
    <w:rsid w:val="64D4770D"/>
    <w:rsid w:val="64DF4A2F"/>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6821F3"/>
    <w:rsid w:val="668D3AA7"/>
    <w:rsid w:val="668D6304"/>
    <w:rsid w:val="669C6028"/>
    <w:rsid w:val="669F0689"/>
    <w:rsid w:val="66A87A0F"/>
    <w:rsid w:val="66B20509"/>
    <w:rsid w:val="66C50541"/>
    <w:rsid w:val="66C509D5"/>
    <w:rsid w:val="66DA2CB3"/>
    <w:rsid w:val="66F40793"/>
    <w:rsid w:val="66F978FF"/>
    <w:rsid w:val="6717038D"/>
    <w:rsid w:val="671706D3"/>
    <w:rsid w:val="67286A44"/>
    <w:rsid w:val="672F48CC"/>
    <w:rsid w:val="6730396A"/>
    <w:rsid w:val="67346B89"/>
    <w:rsid w:val="6739419F"/>
    <w:rsid w:val="6751773B"/>
    <w:rsid w:val="6760797E"/>
    <w:rsid w:val="67801EB9"/>
    <w:rsid w:val="67941A60"/>
    <w:rsid w:val="67A71109"/>
    <w:rsid w:val="67C76B2D"/>
    <w:rsid w:val="67CE0D8B"/>
    <w:rsid w:val="67EE2A60"/>
    <w:rsid w:val="68036CFD"/>
    <w:rsid w:val="681A38D9"/>
    <w:rsid w:val="68324E76"/>
    <w:rsid w:val="6839795B"/>
    <w:rsid w:val="683E5252"/>
    <w:rsid w:val="68456C28"/>
    <w:rsid w:val="684C67E9"/>
    <w:rsid w:val="685118DE"/>
    <w:rsid w:val="685E101E"/>
    <w:rsid w:val="686C6BF3"/>
    <w:rsid w:val="68702AEA"/>
    <w:rsid w:val="688233FF"/>
    <w:rsid w:val="68883E6D"/>
    <w:rsid w:val="68AD6BF3"/>
    <w:rsid w:val="68B7537B"/>
    <w:rsid w:val="68D56A00"/>
    <w:rsid w:val="68DA1F54"/>
    <w:rsid w:val="68EB078F"/>
    <w:rsid w:val="691D1B71"/>
    <w:rsid w:val="69280C5E"/>
    <w:rsid w:val="693115D2"/>
    <w:rsid w:val="693A3226"/>
    <w:rsid w:val="693E4935"/>
    <w:rsid w:val="694D54E1"/>
    <w:rsid w:val="699944EC"/>
    <w:rsid w:val="69995724"/>
    <w:rsid w:val="69B31FE7"/>
    <w:rsid w:val="69B47EE5"/>
    <w:rsid w:val="69C4686C"/>
    <w:rsid w:val="69CE0ADD"/>
    <w:rsid w:val="6A176F2F"/>
    <w:rsid w:val="6A23687A"/>
    <w:rsid w:val="6A240036"/>
    <w:rsid w:val="6A372756"/>
    <w:rsid w:val="6A3749C6"/>
    <w:rsid w:val="6A3B19C7"/>
    <w:rsid w:val="6A4B20C8"/>
    <w:rsid w:val="6A4B5F33"/>
    <w:rsid w:val="6A577BBA"/>
    <w:rsid w:val="6A590439"/>
    <w:rsid w:val="6A597D4C"/>
    <w:rsid w:val="6A680FC7"/>
    <w:rsid w:val="6A880A74"/>
    <w:rsid w:val="6A942216"/>
    <w:rsid w:val="6A9B0075"/>
    <w:rsid w:val="6AA33A76"/>
    <w:rsid w:val="6AA54699"/>
    <w:rsid w:val="6AB57FE0"/>
    <w:rsid w:val="6AC51D73"/>
    <w:rsid w:val="6AC82C33"/>
    <w:rsid w:val="6AD67F71"/>
    <w:rsid w:val="6AE213F9"/>
    <w:rsid w:val="6AE85CC0"/>
    <w:rsid w:val="6AF7771D"/>
    <w:rsid w:val="6B036F9E"/>
    <w:rsid w:val="6B105217"/>
    <w:rsid w:val="6B2F7A95"/>
    <w:rsid w:val="6B311795"/>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3F0F20"/>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B3D99"/>
    <w:rsid w:val="6F415A91"/>
    <w:rsid w:val="6F5479EB"/>
    <w:rsid w:val="6F5558BD"/>
    <w:rsid w:val="6F5C177F"/>
    <w:rsid w:val="6F5E47A3"/>
    <w:rsid w:val="6F622446"/>
    <w:rsid w:val="6F6373A3"/>
    <w:rsid w:val="6F6723AD"/>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F13E2"/>
    <w:rsid w:val="70335C2F"/>
    <w:rsid w:val="70476FEF"/>
    <w:rsid w:val="70493FA1"/>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7227E"/>
    <w:rsid w:val="720F6001"/>
    <w:rsid w:val="72473CB6"/>
    <w:rsid w:val="72496B0C"/>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7A53B3"/>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8358B"/>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37DB0"/>
    <w:rsid w:val="789B0816"/>
    <w:rsid w:val="78A04C44"/>
    <w:rsid w:val="78C338C8"/>
    <w:rsid w:val="78E57CE3"/>
    <w:rsid w:val="78E72828"/>
    <w:rsid w:val="78EA7B9F"/>
    <w:rsid w:val="79224F56"/>
    <w:rsid w:val="79336CA0"/>
    <w:rsid w:val="793A7966"/>
    <w:rsid w:val="793B1C09"/>
    <w:rsid w:val="7947274B"/>
    <w:rsid w:val="799F7E92"/>
    <w:rsid w:val="79BA79F3"/>
    <w:rsid w:val="79BB215E"/>
    <w:rsid w:val="79CE4C1B"/>
    <w:rsid w:val="79D87646"/>
    <w:rsid w:val="79DA25B1"/>
    <w:rsid w:val="79E82BC7"/>
    <w:rsid w:val="7A1067EC"/>
    <w:rsid w:val="7A192CE7"/>
    <w:rsid w:val="7A2E2EA3"/>
    <w:rsid w:val="7A3007C8"/>
    <w:rsid w:val="7A3231AD"/>
    <w:rsid w:val="7A4A77F3"/>
    <w:rsid w:val="7A5A72EE"/>
    <w:rsid w:val="7A6169E0"/>
    <w:rsid w:val="7A7C5E16"/>
    <w:rsid w:val="7A844288"/>
    <w:rsid w:val="7AA02113"/>
    <w:rsid w:val="7AA82540"/>
    <w:rsid w:val="7AB931D5"/>
    <w:rsid w:val="7AC322A6"/>
    <w:rsid w:val="7ADC02AF"/>
    <w:rsid w:val="7AE56AF0"/>
    <w:rsid w:val="7B002DC3"/>
    <w:rsid w:val="7B030BB8"/>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C938EC"/>
    <w:rsid w:val="7BD02203"/>
    <w:rsid w:val="7BD22006"/>
    <w:rsid w:val="7BE269EA"/>
    <w:rsid w:val="7BE349AD"/>
    <w:rsid w:val="7BEC6B07"/>
    <w:rsid w:val="7BFC0690"/>
    <w:rsid w:val="7BFE17E7"/>
    <w:rsid w:val="7C013085"/>
    <w:rsid w:val="7C0E2B1C"/>
    <w:rsid w:val="7C0E57A2"/>
    <w:rsid w:val="7C151079"/>
    <w:rsid w:val="7C186D38"/>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CFE1373"/>
    <w:rsid w:val="7D13314E"/>
    <w:rsid w:val="7D230DDA"/>
    <w:rsid w:val="7D365DD8"/>
    <w:rsid w:val="7D3A23FC"/>
    <w:rsid w:val="7D4C0330"/>
    <w:rsid w:val="7D625FC7"/>
    <w:rsid w:val="7D650CA3"/>
    <w:rsid w:val="7D6A0419"/>
    <w:rsid w:val="7D6B7727"/>
    <w:rsid w:val="7D7A5D33"/>
    <w:rsid w:val="7DA0242A"/>
    <w:rsid w:val="7DB12889"/>
    <w:rsid w:val="7DB52379"/>
    <w:rsid w:val="7DBC3708"/>
    <w:rsid w:val="7DC51B27"/>
    <w:rsid w:val="7DD018F6"/>
    <w:rsid w:val="7DD4016C"/>
    <w:rsid w:val="7DD510B0"/>
    <w:rsid w:val="7DEE5D3D"/>
    <w:rsid w:val="7DFB418F"/>
    <w:rsid w:val="7E167D92"/>
    <w:rsid w:val="7E1A50EB"/>
    <w:rsid w:val="7E1D2CB4"/>
    <w:rsid w:val="7E222BD7"/>
    <w:rsid w:val="7E2412AD"/>
    <w:rsid w:val="7E24305B"/>
    <w:rsid w:val="7E290672"/>
    <w:rsid w:val="7E385C9F"/>
    <w:rsid w:val="7E4266E2"/>
    <w:rsid w:val="7E576F8D"/>
    <w:rsid w:val="7E6C2A49"/>
    <w:rsid w:val="7E6D4A02"/>
    <w:rsid w:val="7E722A66"/>
    <w:rsid w:val="7E794FBB"/>
    <w:rsid w:val="7E806AA4"/>
    <w:rsid w:val="7E8F4979"/>
    <w:rsid w:val="7E9C305C"/>
    <w:rsid w:val="7EA06B86"/>
    <w:rsid w:val="7EA26042"/>
    <w:rsid w:val="7EAA17B2"/>
    <w:rsid w:val="7EAF6879"/>
    <w:rsid w:val="7EB45D48"/>
    <w:rsid w:val="7EBD001F"/>
    <w:rsid w:val="7EC17031"/>
    <w:rsid w:val="7ED71E7C"/>
    <w:rsid w:val="7EDE2253"/>
    <w:rsid w:val="7EEA7E01"/>
    <w:rsid w:val="7F0417A2"/>
    <w:rsid w:val="7F360FA8"/>
    <w:rsid w:val="7F3D43D5"/>
    <w:rsid w:val="7F427C3D"/>
    <w:rsid w:val="7F517E80"/>
    <w:rsid w:val="7F565496"/>
    <w:rsid w:val="7F7211CD"/>
    <w:rsid w:val="7F8B3961"/>
    <w:rsid w:val="7F8F3102"/>
    <w:rsid w:val="7F912972"/>
    <w:rsid w:val="7F980D98"/>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2"/>
    <w:next w:val="12"/>
    <w:link w:val="66"/>
    <w:autoRedefine/>
    <w:qFormat/>
    <w:uiPriority w:val="0"/>
    <w:rPr>
      <w:b/>
      <w:bCs/>
    </w:rPr>
  </w:style>
  <w:style w:type="paragraph" w:styleId="34">
    <w:name w:val="Body Text First Indent 2"/>
    <w:next w:val="1"/>
    <w:link w:val="53"/>
    <w:autoRedefine/>
    <w:qFormat/>
    <w:uiPriority w:val="0"/>
    <w:pPr>
      <w:keepNext w:val="0"/>
      <w:keepLines w:val="0"/>
      <w:widowControl w:val="0"/>
      <w:suppressLineNumbers w:val="0"/>
      <w:spacing w:before="0" w:beforeAutospacing="0" w:after="0" w:afterAutospacing="0" w:line="500" w:lineRule="exact"/>
      <w:ind w:left="0" w:right="0" w:firstLine="420" w:firstLineChars="200"/>
      <w:jc w:val="both"/>
    </w:pPr>
    <w:rPr>
      <w:rFonts w:hint="default" w:ascii="Times New Roman" w:hAnsi="Times New Roman" w:eastAsia="宋体" w:cs="Times New Roman"/>
      <w:kern w:val="2"/>
      <w:sz w:val="28"/>
      <w:szCs w:val="28"/>
      <w:lang w:val="en-US" w:eastAsia="zh-CN" w:bidi="ar"/>
    </w:r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autoRedefine/>
    <w:qFormat/>
    <w:uiPriority w:val="0"/>
    <w:rPr>
      <w:color w:val="333333"/>
      <w:u w:val="none"/>
    </w:rPr>
  </w:style>
  <w:style w:type="character" w:styleId="41">
    <w:name w:val="Emphasis"/>
    <w:autoRedefine/>
    <w:qFormat/>
    <w:uiPriority w:val="20"/>
    <w:rPr>
      <w:i/>
      <w:iCs/>
    </w:rPr>
  </w:style>
  <w:style w:type="character" w:styleId="42">
    <w:name w:val="HTML Definition"/>
    <w:autoRedefine/>
    <w:qFormat/>
    <w:uiPriority w:val="0"/>
  </w:style>
  <w:style w:type="character" w:styleId="43">
    <w:name w:val="HTML Typewriter"/>
    <w:autoRedefine/>
    <w:qFormat/>
    <w:uiPriority w:val="0"/>
    <w:rPr>
      <w:rFonts w:ascii="monospace" w:hAnsi="monospace" w:eastAsia="monospace" w:cs="monospace"/>
      <w:sz w:val="20"/>
    </w:rPr>
  </w:style>
  <w:style w:type="character" w:styleId="44">
    <w:name w:val="HTML Acronym"/>
    <w:autoRedefine/>
    <w:qFormat/>
    <w:uiPriority w:val="0"/>
  </w:style>
  <w:style w:type="character" w:styleId="45">
    <w:name w:val="HTML Variable"/>
    <w:autoRedefine/>
    <w:qFormat/>
    <w:uiPriority w:val="0"/>
  </w:style>
  <w:style w:type="character" w:styleId="46">
    <w:name w:val="Hyperlink"/>
    <w:autoRedefine/>
    <w:qFormat/>
    <w:uiPriority w:val="99"/>
    <w:rPr>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sz w:val="21"/>
      <w:szCs w:val="21"/>
    </w:rPr>
  </w:style>
  <w:style w:type="character" w:styleId="49">
    <w:name w:val="HTML Cite"/>
    <w:autoRedefine/>
    <w:qFormat/>
    <w:uiPriority w:val="0"/>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hint="default" w:ascii="monospace" w:hAnsi="monospace" w:eastAsia="monospace" w:cs="monospace"/>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4"/>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3"/>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7"/>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7"/>
    <w:autoRedefine/>
    <w:qFormat/>
    <w:uiPriority w:val="0"/>
    <w:rPr>
      <w:b/>
      <w:bCs/>
      <w:color w:val="FF7800"/>
    </w:rPr>
  </w:style>
  <w:style w:type="character" w:customStyle="1" w:styleId="130">
    <w:name w:val="a-desc"/>
    <w:basedOn w:val="37"/>
    <w:autoRedefine/>
    <w:qFormat/>
    <w:uiPriority w:val="0"/>
    <w:rPr>
      <w:color w:val="315EFB"/>
    </w:rPr>
  </w:style>
  <w:style w:type="character" w:customStyle="1" w:styleId="131">
    <w:name w:val="bg"/>
    <w:basedOn w:val="37"/>
    <w:autoRedefine/>
    <w:qFormat/>
    <w:uiPriority w:val="0"/>
    <w:rPr>
      <w:shd w:val="clear" w:color="auto" w:fill="000000"/>
    </w:rPr>
  </w:style>
  <w:style w:type="character" w:customStyle="1" w:styleId="132">
    <w:name w:val="bg1"/>
    <w:basedOn w:val="37"/>
    <w:autoRedefine/>
    <w:qFormat/>
    <w:uiPriority w:val="0"/>
    <w:rPr>
      <w:shd w:val="clear" w:color="auto" w:fill="000000"/>
    </w:rPr>
  </w:style>
  <w:style w:type="character" w:customStyle="1" w:styleId="133">
    <w:name w:val="bg2"/>
    <w:basedOn w:val="37"/>
    <w:autoRedefine/>
    <w:qFormat/>
    <w:uiPriority w:val="0"/>
    <w:rPr>
      <w:shd w:val="clear" w:color="auto" w:fill="000000"/>
    </w:rPr>
  </w:style>
  <w:style w:type="character" w:customStyle="1" w:styleId="134">
    <w:name w:val="iknow-qb-ad-sou-icon"/>
    <w:basedOn w:val="37"/>
    <w:autoRedefine/>
    <w:qFormat/>
    <w:uiPriority w:val="0"/>
  </w:style>
  <w:style w:type="character" w:customStyle="1" w:styleId="135">
    <w:name w:val="del-btn"/>
    <w:basedOn w:val="37"/>
    <w:autoRedefine/>
    <w:qFormat/>
    <w:uiPriority w:val="0"/>
  </w:style>
  <w:style w:type="character" w:customStyle="1" w:styleId="136">
    <w:name w:val="del-btn1"/>
    <w:basedOn w:val="37"/>
    <w:autoRedefine/>
    <w:qFormat/>
    <w:uiPriority w:val="0"/>
  </w:style>
  <w:style w:type="character" w:customStyle="1" w:styleId="137">
    <w:name w:val="del-btn2"/>
    <w:basedOn w:val="37"/>
    <w:autoRedefine/>
    <w:qFormat/>
    <w:uiPriority w:val="0"/>
  </w:style>
  <w:style w:type="character" w:customStyle="1" w:styleId="138">
    <w:name w:val="answer-title"/>
    <w:basedOn w:val="37"/>
    <w:autoRedefine/>
    <w:qFormat/>
    <w:uiPriority w:val="0"/>
  </w:style>
  <w:style w:type="character" w:customStyle="1" w:styleId="139">
    <w:name w:val="new-icon2"/>
    <w:basedOn w:val="37"/>
    <w:autoRedefine/>
    <w:qFormat/>
    <w:uiPriority w:val="0"/>
  </w:style>
  <w:style w:type="character" w:customStyle="1" w:styleId="140">
    <w:name w:val="new-icon3"/>
    <w:basedOn w:val="37"/>
    <w:autoRedefine/>
    <w:qFormat/>
    <w:uiPriority w:val="0"/>
  </w:style>
  <w:style w:type="character" w:customStyle="1" w:styleId="141">
    <w:name w:val="green"/>
    <w:basedOn w:val="37"/>
    <w:autoRedefine/>
    <w:qFormat/>
    <w:uiPriority w:val="0"/>
    <w:rPr>
      <w:color w:val="3B6FFF"/>
    </w:rPr>
  </w:style>
  <w:style w:type="character" w:customStyle="1" w:styleId="142">
    <w:name w:val="green1"/>
    <w:basedOn w:val="37"/>
    <w:autoRedefine/>
    <w:qFormat/>
    <w:uiPriority w:val="0"/>
    <w:rPr>
      <w:color w:val="3B6FFF"/>
    </w:rPr>
  </w:style>
  <w:style w:type="character" w:customStyle="1" w:styleId="143">
    <w:name w:val="green2"/>
    <w:basedOn w:val="37"/>
    <w:autoRedefine/>
    <w:qFormat/>
    <w:uiPriority w:val="0"/>
    <w:rPr>
      <w:color w:val="4DC86F"/>
    </w:rPr>
  </w:style>
  <w:style w:type="character" w:customStyle="1" w:styleId="144">
    <w:name w:val="green3"/>
    <w:basedOn w:val="37"/>
    <w:autoRedefine/>
    <w:qFormat/>
    <w:uiPriority w:val="0"/>
    <w:rPr>
      <w:color w:val="4DC86F"/>
    </w:rPr>
  </w:style>
  <w:style w:type="character" w:customStyle="1" w:styleId="145">
    <w:name w:val="answer-title2"/>
    <w:basedOn w:val="37"/>
    <w:autoRedefine/>
    <w:qFormat/>
    <w:uiPriority w:val="0"/>
  </w:style>
  <w:style w:type="character" w:customStyle="1" w:styleId="146">
    <w:name w:val="new-icon"/>
    <w:basedOn w:val="37"/>
    <w:autoRedefine/>
    <w:qFormat/>
    <w:uiPriority w:val="0"/>
  </w:style>
  <w:style w:type="character" w:customStyle="1" w:styleId="147">
    <w:name w:val="new-icon1"/>
    <w:basedOn w:val="37"/>
    <w:autoRedefine/>
    <w:qFormat/>
    <w:uiPriority w:val="0"/>
  </w:style>
  <w:style w:type="character" w:customStyle="1" w:styleId="148">
    <w:name w:val="font31"/>
    <w:basedOn w:val="37"/>
    <w:autoRedefine/>
    <w:qFormat/>
    <w:uiPriority w:val="0"/>
    <w:rPr>
      <w:rFonts w:hint="eastAsia" w:ascii="宋体" w:hAnsi="宋体" w:eastAsia="宋体" w:cs="宋体"/>
      <w:color w:val="000000"/>
      <w:sz w:val="21"/>
      <w:szCs w:val="21"/>
      <w:u w:val="none"/>
    </w:rPr>
  </w:style>
  <w:style w:type="character" w:customStyle="1" w:styleId="149">
    <w:name w:val="font51"/>
    <w:basedOn w:val="37"/>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2">
    <w:name w:val="10"/>
    <w:basedOn w:val="37"/>
    <w:qFormat/>
    <w:uiPriority w:val="0"/>
    <w:rPr>
      <w:rFonts w:hint="default" w:ascii="Times New Roman" w:hAnsi="Times New Roman" w:cs="Times New Roman"/>
    </w:rPr>
  </w:style>
  <w:style w:type="character" w:customStyle="1" w:styleId="153">
    <w:name w:val="15"/>
    <w:basedOn w:val="3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18599</Words>
  <Characters>20587</Characters>
  <Lines>1</Lines>
  <Paragraphs>1</Paragraphs>
  <TotalTime>3</TotalTime>
  <ScaleCrop>false</ScaleCrop>
  <LinksUpToDate>false</LinksUpToDate>
  <CharactersWithSpaces>21745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这不科学</cp:lastModifiedBy>
  <cp:lastPrinted>2026-07-03T09:03:00Z</cp:lastPrinted>
  <dcterms:modified xsi:type="dcterms:W3CDTF">2026-09-09T04:57:44Z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84D2A20285844251AC110EF3F8DCB029_13</vt:lpwstr>
  </property>
  <property fmtid="{D5CDD505-2E9C-101B-9397-08002B2CF9AE}" pid="4" name="KSOTemplateDocerSaveRecord">
    <vt:lpwstr>eyJoZGlkIjoiZmI5ZDY5ZDNjMmE2ZDcxYTFkMDY0Zjg5Mjg3YTE0YTgiLCJ1c2VySWQiOiI1MDM3MjkwOTMifQ==</vt:lpwstr>
  </property>
</Properties>
</file>