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F0D682">
      <w:pPr>
        <w:jc w:val="center"/>
        <w:rPr>
          <w:rFonts w:ascii="宋体" w:hAnsi="宋体" w:cs="宋体"/>
          <w:b/>
          <w:color w:val="auto"/>
          <w:kern w:val="0"/>
          <w:sz w:val="44"/>
          <w:szCs w:val="44"/>
          <w:highlight w:val="none"/>
        </w:rPr>
      </w:pPr>
      <w:bookmarkStart w:id="0" w:name="_Toc461631222"/>
      <w:bookmarkStart w:id="1" w:name="_Toc506107265"/>
      <w:bookmarkStart w:id="2" w:name="_Toc247085669"/>
      <w:bookmarkStart w:id="3" w:name="_Toc246996898"/>
      <w:bookmarkStart w:id="4" w:name="_Toc296602400"/>
      <w:bookmarkStart w:id="5" w:name="_Toc15058843"/>
      <w:bookmarkStart w:id="6" w:name="_Toc324404811"/>
      <w:bookmarkStart w:id="7" w:name="OLE_LINK5"/>
      <w:bookmarkStart w:id="8" w:name="OLE_LINK1"/>
      <w:bookmarkStart w:id="9" w:name="OLE_LINK2"/>
      <w:bookmarkStart w:id="10" w:name="OLE_LINK3"/>
      <w:bookmarkStart w:id="11" w:name="OLE_LINK4"/>
    </w:p>
    <w:p w14:paraId="47DD7C31">
      <w:pPr>
        <w:pStyle w:val="2"/>
        <w:ind w:firstLine="420"/>
        <w:rPr>
          <w:color w:val="auto"/>
          <w:highlight w:val="none"/>
        </w:rPr>
      </w:pPr>
    </w:p>
    <w:p w14:paraId="665D6013">
      <w:pPr>
        <w:jc w:val="center"/>
        <w:rPr>
          <w:rFonts w:ascii="宋体" w:hAnsi="宋体"/>
          <w:color w:val="auto"/>
          <w:sz w:val="52"/>
          <w:szCs w:val="52"/>
          <w:highlight w:val="none"/>
        </w:rPr>
      </w:pPr>
      <w:r>
        <w:rPr>
          <w:rFonts w:hint="eastAsia" w:hAnsi="宋体" w:cs="宋体"/>
          <w:b/>
          <w:color w:val="auto"/>
          <w:kern w:val="0"/>
          <w:sz w:val="52"/>
          <w:szCs w:val="52"/>
          <w:highlight w:val="none"/>
          <w:lang w:eastAsia="zh-CN"/>
        </w:rPr>
        <w:t>龙尾山小区顶楼屋面维修工程</w:t>
      </w:r>
    </w:p>
    <w:p w14:paraId="0076B829">
      <w:pPr>
        <w:pStyle w:val="2"/>
        <w:rPr>
          <w:color w:val="auto"/>
          <w:highlight w:val="none"/>
        </w:rPr>
      </w:pPr>
    </w:p>
    <w:p w14:paraId="2A3630CA">
      <w:pPr>
        <w:jc w:val="center"/>
        <w:rPr>
          <w:rFonts w:hint="eastAsia" w:ascii="宋体" w:hAnsi="宋体"/>
          <w:b/>
          <w:bCs/>
          <w:color w:val="auto"/>
          <w:sz w:val="96"/>
          <w:szCs w:val="96"/>
          <w:highlight w:val="none"/>
        </w:rPr>
      </w:pPr>
    </w:p>
    <w:p w14:paraId="6038C885">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48D08BA2">
      <w:pPr>
        <w:spacing w:line="400" w:lineRule="exact"/>
        <w:jc w:val="center"/>
        <w:rPr>
          <w:rFonts w:ascii="宋体" w:hAnsi="宋体"/>
          <w:b/>
          <w:color w:val="auto"/>
          <w:sz w:val="39"/>
          <w:highlight w:val="none"/>
        </w:rPr>
      </w:pPr>
    </w:p>
    <w:p w14:paraId="580DF33E">
      <w:pPr>
        <w:spacing w:line="400" w:lineRule="exact"/>
        <w:rPr>
          <w:color w:val="auto"/>
          <w:highlight w:val="none"/>
        </w:rPr>
      </w:pPr>
    </w:p>
    <w:p w14:paraId="17F6ED0D">
      <w:pPr>
        <w:rPr>
          <w:color w:val="auto"/>
          <w:highlight w:val="none"/>
        </w:rPr>
      </w:pPr>
    </w:p>
    <w:p w14:paraId="0FDB5A08">
      <w:pPr>
        <w:pStyle w:val="2"/>
        <w:rPr>
          <w:color w:val="auto"/>
          <w:highlight w:val="none"/>
        </w:rPr>
      </w:pPr>
    </w:p>
    <w:p w14:paraId="7DF49CF7">
      <w:pPr>
        <w:jc w:val="center"/>
        <w:rPr>
          <w:rFonts w:hint="eastAsia" w:ascii="宋体" w:hAnsi="宋体" w:eastAsia="宋体" w:cs="宋体"/>
          <w:color w:val="auto"/>
          <w:highlight w:val="none"/>
        </w:rPr>
      </w:pPr>
      <w:r>
        <w:rPr>
          <w:rFonts w:hint="eastAsia" w:ascii="宋体" w:hAnsi="宋体" w:eastAsia="宋体" w:cs="宋体"/>
          <w:color w:val="auto"/>
          <w:highlight w:val="none"/>
        </w:rPr>
        <w:t>项目编号：HXJY1110001051848001</w:t>
      </w:r>
    </w:p>
    <w:p w14:paraId="79E5B4C1">
      <w:pPr>
        <w:rPr>
          <w:color w:val="auto"/>
          <w:highlight w:val="none"/>
        </w:rPr>
      </w:pPr>
    </w:p>
    <w:p w14:paraId="4E3D3D10">
      <w:pPr>
        <w:pStyle w:val="2"/>
        <w:rPr>
          <w:color w:val="auto"/>
          <w:highlight w:val="none"/>
        </w:rPr>
      </w:pPr>
    </w:p>
    <w:p w14:paraId="041A5E3F">
      <w:pPr>
        <w:rPr>
          <w:color w:val="auto"/>
          <w:highlight w:val="none"/>
        </w:rPr>
      </w:pPr>
    </w:p>
    <w:p w14:paraId="20C61F2E">
      <w:pPr>
        <w:pStyle w:val="2"/>
        <w:rPr>
          <w:color w:val="auto"/>
          <w:highlight w:val="none"/>
        </w:rPr>
      </w:pPr>
    </w:p>
    <w:p w14:paraId="5043FF4A">
      <w:pPr>
        <w:rPr>
          <w:color w:val="auto"/>
          <w:highlight w:val="none"/>
        </w:rPr>
      </w:pPr>
    </w:p>
    <w:p w14:paraId="2E5D9C52">
      <w:pPr>
        <w:pStyle w:val="2"/>
        <w:rPr>
          <w:color w:val="auto"/>
          <w:highlight w:val="none"/>
        </w:rPr>
      </w:pPr>
    </w:p>
    <w:p w14:paraId="20BE6CE3">
      <w:pPr>
        <w:spacing w:line="720" w:lineRule="exact"/>
        <w:rPr>
          <w:b/>
          <w:bCs/>
          <w:color w:val="auto"/>
          <w:sz w:val="28"/>
          <w:szCs w:val="28"/>
          <w:highlight w:val="none"/>
        </w:rPr>
      </w:pPr>
    </w:p>
    <w:p w14:paraId="5AE089C7">
      <w:pPr>
        <w:spacing w:before="156" w:beforeLines="50" w:after="156" w:afterLines="50" w:line="700" w:lineRule="exact"/>
        <w:jc w:val="center"/>
        <w:outlineLvl w:val="9"/>
        <w:rPr>
          <w:rFonts w:hint="eastAsia" w:ascii="宋体"/>
          <w:b/>
          <w:color w:val="auto"/>
          <w:sz w:val="32"/>
          <w:szCs w:val="32"/>
          <w:highlight w:val="none"/>
        </w:rPr>
      </w:pPr>
      <w:bookmarkStart w:id="12" w:name="_Toc25057"/>
      <w:bookmarkStart w:id="13" w:name="_Toc32059"/>
      <w:bookmarkStart w:id="14" w:name="_Toc22225"/>
      <w:bookmarkStart w:id="15" w:name="_Toc20499"/>
      <w:r>
        <w:rPr>
          <w:rFonts w:hint="eastAsia" w:ascii="宋体"/>
          <w:b/>
          <w:color w:val="auto"/>
          <w:sz w:val="32"/>
          <w:szCs w:val="32"/>
          <w:highlight w:val="none"/>
        </w:rPr>
        <w:t>招</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标</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 xml:space="preserve"> 人：</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安徽省琅琊山旅游发展有限公司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bookmarkEnd w:id="12"/>
      <w:bookmarkEnd w:id="13"/>
      <w:bookmarkEnd w:id="14"/>
      <w:bookmarkEnd w:id="15"/>
    </w:p>
    <w:p w14:paraId="17DEC311">
      <w:pPr>
        <w:spacing w:before="156" w:beforeLines="50" w:after="156" w:afterLines="50" w:line="700" w:lineRule="exact"/>
        <w:rPr>
          <w:rFonts w:hint="eastAsia" w:ascii="宋体"/>
          <w:b/>
          <w:color w:val="auto"/>
          <w:sz w:val="32"/>
          <w:szCs w:val="32"/>
          <w:highlight w:val="none"/>
          <w:u w:val="single"/>
        </w:rPr>
      </w:pPr>
      <w:r>
        <w:rPr>
          <w:rFonts w:hint="eastAsia" w:ascii="宋体"/>
          <w:b/>
          <w:color w:val="auto"/>
          <w:sz w:val="32"/>
          <w:szCs w:val="32"/>
          <w:highlight w:val="none"/>
        </w:rPr>
        <w:t>招标代理机构：</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rPr>
        <w:t>滁州市城投工程咨询管理有限公司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p>
    <w:p w14:paraId="41DC6623">
      <w:pPr>
        <w:spacing w:before="156" w:beforeLines="50" w:after="156" w:afterLines="50" w:line="700" w:lineRule="exact"/>
        <w:jc w:val="center"/>
        <w:rPr>
          <w:rFonts w:hint="eastAsia" w:eastAsia="宋体"/>
          <w:color w:val="auto"/>
          <w:highlight w:val="none"/>
          <w:lang w:eastAsia="zh-CN"/>
        </w:rPr>
      </w:pP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 xml:space="preserve">6 </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 xml:space="preserve"> 2 </w:t>
      </w:r>
      <w:r>
        <w:rPr>
          <w:rFonts w:hint="eastAsia" w:ascii="宋体"/>
          <w:b/>
          <w:color w:val="auto"/>
          <w:sz w:val="32"/>
          <w:szCs w:val="32"/>
          <w:highlight w:val="none"/>
        </w:rPr>
        <w:t>月</w:t>
      </w:r>
    </w:p>
    <w:p w14:paraId="197AFAF4">
      <w:pPr>
        <w:rPr>
          <w:rFonts w:hint="eastAsia"/>
          <w:color w:val="auto"/>
          <w:sz w:val="44"/>
          <w:szCs w:val="44"/>
          <w:highlight w:val="none"/>
        </w:rPr>
      </w:pPr>
      <w:r>
        <w:rPr>
          <w:rFonts w:hint="eastAsia"/>
          <w:color w:val="auto"/>
          <w:sz w:val="44"/>
          <w:szCs w:val="44"/>
          <w:highlight w:val="none"/>
        </w:rPr>
        <w:br w:type="page"/>
      </w:r>
    </w:p>
    <w:p w14:paraId="36FA5A3F">
      <w:pPr>
        <w:spacing w:line="700" w:lineRule="exact"/>
        <w:jc w:val="center"/>
        <w:rPr>
          <w:color w:val="auto"/>
          <w:sz w:val="44"/>
          <w:szCs w:val="44"/>
          <w:highlight w:val="none"/>
        </w:rPr>
      </w:pPr>
      <w:r>
        <w:rPr>
          <w:rFonts w:hint="eastAsia"/>
          <w:color w:val="auto"/>
          <w:sz w:val="44"/>
          <w:szCs w:val="44"/>
          <w:highlight w:val="none"/>
        </w:rPr>
        <w:t>目   录</w:t>
      </w:r>
      <w:bookmarkEnd w:id="0"/>
      <w:bookmarkEnd w:id="1"/>
      <w:bookmarkEnd w:id="2"/>
      <w:bookmarkEnd w:id="3"/>
      <w:bookmarkEnd w:id="4"/>
      <w:bookmarkEnd w:id="5"/>
      <w:bookmarkEnd w:id="6"/>
      <w:bookmarkStart w:id="16" w:name="_Toc152042287"/>
      <w:bookmarkStart w:id="17" w:name="_Toc152045511"/>
      <w:bookmarkStart w:id="18" w:name="_Toc144974479"/>
      <w:bookmarkStart w:id="19" w:name="_Toc179632527"/>
    </w:p>
    <w:p w14:paraId="49DA90A4">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TOC \o "1-1" \h \u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_Toc7325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cs="宋体"/>
          <w:b w:val="0"/>
          <w:bCs w:val="0"/>
          <w:color w:val="auto"/>
          <w:sz w:val="28"/>
          <w:szCs w:val="28"/>
          <w:highlight w:val="none"/>
          <w:lang w:eastAsia="zh-CN"/>
        </w:rPr>
        <w:t>龙尾山小区顶楼屋面维修工程</w:t>
      </w:r>
      <w:r>
        <w:rPr>
          <w:rFonts w:hint="eastAsia" w:ascii="宋体" w:hAnsi="宋体" w:eastAsia="宋体" w:cs="宋体"/>
          <w:b w:val="0"/>
          <w:bCs w:val="0"/>
          <w:color w:val="auto"/>
          <w:sz w:val="28"/>
          <w:szCs w:val="28"/>
          <w:highlight w:val="none"/>
        </w:rPr>
        <w:t>招标公告信息</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_Toc7325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3</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08D794DE">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_Toc8980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rPr>
        <w:t>第一章  投标人须知</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_Toc8980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7F38CCA0">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_Toc10676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rPr>
        <w:t>第二章  资格审查办法</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_Toc10676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22</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484F40EE">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_Toc30518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kern w:val="0"/>
          <w:sz w:val="28"/>
          <w:szCs w:val="28"/>
          <w:highlight w:val="none"/>
        </w:rPr>
        <w:t xml:space="preserve">第三章 </w:t>
      </w:r>
      <w:r>
        <w:rPr>
          <w:rFonts w:hint="eastAsia" w:ascii="宋体" w:hAnsi="宋体" w:eastAsia="宋体" w:cs="宋体"/>
          <w:b w:val="0"/>
          <w:bCs w:val="0"/>
          <w:color w:val="auto"/>
          <w:kern w:val="0"/>
          <w:sz w:val="28"/>
          <w:szCs w:val="28"/>
          <w:highlight w:val="none"/>
          <w:lang w:val="en-US" w:eastAsia="zh-CN"/>
        </w:rPr>
        <w:t xml:space="preserve"> </w:t>
      </w:r>
      <w:r>
        <w:rPr>
          <w:rFonts w:hint="eastAsia" w:ascii="宋体" w:hAnsi="宋体" w:eastAsia="宋体" w:cs="宋体"/>
          <w:b w:val="0"/>
          <w:bCs w:val="0"/>
          <w:color w:val="auto"/>
          <w:kern w:val="0"/>
          <w:sz w:val="28"/>
          <w:szCs w:val="28"/>
          <w:highlight w:val="none"/>
        </w:rPr>
        <w:t>评标办法</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_Toc30518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26</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1073C666">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_Toc7231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kern w:val="0"/>
          <w:sz w:val="28"/>
          <w:szCs w:val="28"/>
          <w:highlight w:val="none"/>
        </w:rPr>
        <w:t>第</w:t>
      </w:r>
      <w:r>
        <w:rPr>
          <w:rFonts w:hint="eastAsia" w:ascii="宋体" w:hAnsi="宋体" w:eastAsia="宋体" w:cs="宋体"/>
          <w:b w:val="0"/>
          <w:bCs w:val="0"/>
          <w:color w:val="auto"/>
          <w:kern w:val="0"/>
          <w:sz w:val="28"/>
          <w:szCs w:val="28"/>
          <w:highlight w:val="none"/>
          <w:lang w:val="en-US" w:eastAsia="zh-CN"/>
        </w:rPr>
        <w:t>四</w:t>
      </w:r>
      <w:r>
        <w:rPr>
          <w:rFonts w:hint="eastAsia" w:ascii="宋体" w:hAnsi="宋体" w:eastAsia="宋体" w:cs="宋体"/>
          <w:b w:val="0"/>
          <w:bCs w:val="0"/>
          <w:color w:val="auto"/>
          <w:kern w:val="0"/>
          <w:sz w:val="28"/>
          <w:szCs w:val="28"/>
          <w:highlight w:val="none"/>
        </w:rPr>
        <w:t>章  合同条款及格式</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_Toc7231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35</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5B97C67C">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_Toc23990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kern w:val="0"/>
          <w:sz w:val="28"/>
          <w:szCs w:val="28"/>
          <w:highlight w:val="none"/>
          <w:lang w:val="en-US" w:eastAsia="zh-CN" w:bidi="ar-SA"/>
        </w:rPr>
        <w:t>第五章</w:t>
      </w:r>
      <w:r>
        <w:rPr>
          <w:rFonts w:hint="eastAsia" w:ascii="宋体" w:hAnsi="宋体" w:eastAsia="宋体" w:cs="宋体"/>
          <w:b w:val="0"/>
          <w:bCs w:val="0"/>
          <w:color w:val="auto"/>
          <w:sz w:val="28"/>
          <w:szCs w:val="28"/>
          <w:highlight w:val="none"/>
        </w:rPr>
        <w:t xml:space="preserve"> </w:t>
      </w:r>
      <w:r>
        <w:rPr>
          <w:rFonts w:hint="eastAsia" w:ascii="宋体"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rPr>
        <w:t>工程量清单</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_Toc23990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65</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5F034AD5">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_Toc10023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kern w:val="0"/>
          <w:sz w:val="28"/>
          <w:szCs w:val="28"/>
          <w:highlight w:val="none"/>
          <w:lang w:val="en-US" w:eastAsia="zh-CN" w:bidi="ar-SA"/>
        </w:rPr>
        <w:t xml:space="preserve">第六章  </w:t>
      </w:r>
      <w:r>
        <w:rPr>
          <w:rFonts w:hint="eastAsia" w:ascii="宋体" w:hAnsi="宋体" w:eastAsia="宋体" w:cs="宋体"/>
          <w:b w:val="0"/>
          <w:bCs w:val="0"/>
          <w:color w:val="auto"/>
          <w:sz w:val="28"/>
          <w:szCs w:val="28"/>
          <w:highlight w:val="none"/>
          <w:lang w:val="en-US" w:eastAsia="zh-CN"/>
        </w:rPr>
        <w:t>图纸</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_Toc10023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69</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3706272D">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_Toc24902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lang w:val="en-US" w:eastAsia="zh-CN"/>
        </w:rPr>
        <w:t>第七章  技术标准和要求</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_Toc24902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69</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62423F08">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_Toc5279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八</w:t>
      </w:r>
      <w:r>
        <w:rPr>
          <w:rFonts w:hint="eastAsia" w:ascii="宋体" w:hAnsi="宋体" w:eastAsia="宋体" w:cs="宋体"/>
          <w:b w:val="0"/>
          <w:bCs w:val="0"/>
          <w:color w:val="auto"/>
          <w:sz w:val="28"/>
          <w:szCs w:val="28"/>
          <w:highlight w:val="none"/>
        </w:rPr>
        <w:t>章  投标文件格式</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_Toc5279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70</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5DA7EE6D">
      <w:pPr>
        <w:pStyle w:val="32"/>
        <w:tabs>
          <w:tab w:val="right" w:leader="dot" w:pos="9072"/>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aps w:val="0"/>
          <w:color w:val="auto"/>
          <w:sz w:val="28"/>
          <w:szCs w:val="28"/>
          <w:highlight w:val="none"/>
          <w:lang w:val="en-US" w:eastAsia="zh-CN"/>
        </w:rPr>
        <w:fldChar w:fldCharType="begin"/>
      </w:r>
      <w:r>
        <w:rPr>
          <w:rFonts w:hint="eastAsia" w:ascii="宋体" w:hAnsi="宋体" w:eastAsia="宋体" w:cs="宋体"/>
          <w:b w:val="0"/>
          <w:bCs w:val="0"/>
          <w:caps w:val="0"/>
          <w:color w:val="auto"/>
          <w:sz w:val="28"/>
          <w:szCs w:val="28"/>
          <w:highlight w:val="none"/>
          <w:lang w:val="en-US" w:eastAsia="zh-CN"/>
        </w:rPr>
        <w:instrText xml:space="preserve"> HYPERLINK \l _Toc8955 </w:instrText>
      </w:r>
      <w:r>
        <w:rPr>
          <w:rFonts w:hint="eastAsia" w:ascii="宋体" w:hAnsi="宋体" w:eastAsia="宋体" w:cs="宋体"/>
          <w:b w:val="0"/>
          <w:bCs w:val="0"/>
          <w:caps w:val="0"/>
          <w:color w:val="auto"/>
          <w:sz w:val="28"/>
          <w:szCs w:val="28"/>
          <w:highlight w:val="none"/>
          <w:lang w:val="en-US" w:eastAsia="zh-CN"/>
        </w:rPr>
        <w:fldChar w:fldCharType="separate"/>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九</w:t>
      </w:r>
      <w:r>
        <w:rPr>
          <w:rFonts w:hint="eastAsia" w:ascii="宋体" w:hAnsi="宋体" w:eastAsia="宋体" w:cs="宋体"/>
          <w:b w:val="0"/>
          <w:bCs w:val="0"/>
          <w:color w:val="auto"/>
          <w:sz w:val="28"/>
          <w:szCs w:val="28"/>
          <w:highlight w:val="none"/>
        </w:rPr>
        <w:t>章  招标单位、招标代理机构对本招标文件的确认</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_Toc8955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85</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aps w:val="0"/>
          <w:color w:val="auto"/>
          <w:sz w:val="28"/>
          <w:szCs w:val="28"/>
          <w:highlight w:val="none"/>
          <w:lang w:val="en-US" w:eastAsia="zh-CN"/>
        </w:rPr>
        <w:fldChar w:fldCharType="end"/>
      </w:r>
    </w:p>
    <w:p w14:paraId="42668408">
      <w:pPr>
        <w:pStyle w:val="32"/>
        <w:tabs>
          <w:tab w:val="right" w:leader="dot" w:pos="9062"/>
        </w:tabs>
        <w:spacing w:line="700" w:lineRule="exact"/>
        <w:ind w:firstLine="560" w:firstLineChars="200"/>
        <w:rPr>
          <w:rFonts w:hint="default" w:ascii="宋体" w:hAnsi="宋体" w:eastAsia="宋体" w:cs="宋体"/>
          <w:b w:val="0"/>
          <w:bCs w:val="0"/>
          <w:caps w:val="0"/>
          <w:color w:val="auto"/>
          <w:sz w:val="24"/>
          <w:szCs w:val="24"/>
          <w:highlight w:val="none"/>
          <w:lang w:val="en-US" w:eastAsia="zh-CN"/>
        </w:rPr>
      </w:pPr>
      <w:r>
        <w:rPr>
          <w:rFonts w:hint="eastAsia" w:ascii="宋体" w:hAnsi="宋体" w:eastAsia="宋体" w:cs="宋体"/>
          <w:b w:val="0"/>
          <w:bCs w:val="0"/>
          <w:caps w:val="0"/>
          <w:color w:val="auto"/>
          <w:sz w:val="28"/>
          <w:szCs w:val="28"/>
          <w:highlight w:val="none"/>
          <w:lang w:val="en-US" w:eastAsia="zh-CN"/>
        </w:rPr>
        <w:fldChar w:fldCharType="end"/>
      </w:r>
    </w:p>
    <w:p w14:paraId="0DCA3C39">
      <w:pPr>
        <w:pStyle w:val="2"/>
        <w:spacing w:line="700" w:lineRule="exact"/>
        <w:ind w:left="0" w:leftChars="0" w:firstLine="480"/>
        <w:jc w:val="left"/>
        <w:rPr>
          <w:color w:val="auto"/>
          <w:sz w:val="24"/>
          <w:szCs w:val="24"/>
          <w:highlight w:val="none"/>
        </w:rPr>
      </w:pPr>
    </w:p>
    <w:p w14:paraId="6AA5C02C">
      <w:pPr>
        <w:pStyle w:val="43"/>
        <w:spacing w:line="700" w:lineRule="exact"/>
        <w:jc w:val="left"/>
        <w:rPr>
          <w:color w:val="auto"/>
          <w:sz w:val="24"/>
          <w:szCs w:val="24"/>
          <w:highlight w:val="none"/>
        </w:rPr>
        <w:sectPr>
          <w:headerReference r:id="rId3" w:type="default"/>
          <w:footerReference r:id="rId4" w:type="default"/>
          <w:pgSz w:w="11906" w:h="16838"/>
          <w:pgMar w:top="1134" w:right="1417" w:bottom="1134" w:left="1417" w:header="851" w:footer="992" w:gutter="0"/>
          <w:pgNumType w:fmt="decimal" w:start="1"/>
          <w:cols w:space="720" w:num="1"/>
          <w:docGrid w:type="lines" w:linePitch="312" w:charSpace="0"/>
        </w:sectPr>
      </w:pPr>
    </w:p>
    <w:bookmarkEnd w:id="16"/>
    <w:bookmarkEnd w:id="17"/>
    <w:bookmarkEnd w:id="18"/>
    <w:bookmarkEnd w:id="19"/>
    <w:p w14:paraId="3AD31285">
      <w:pPr>
        <w:pStyle w:val="43"/>
        <w:keepNext w:val="0"/>
        <w:keepLines w:val="0"/>
        <w:pageBreakBefore w:val="0"/>
        <w:widowControl w:val="0"/>
        <w:kinsoku/>
        <w:wordWrap/>
        <w:overflowPunct/>
        <w:topLinePunct w:val="0"/>
        <w:autoSpaceDE/>
        <w:autoSpaceDN/>
        <w:bidi w:val="0"/>
        <w:adjustRightInd w:val="0"/>
        <w:snapToGrid/>
        <w:spacing w:beforeLines="50" w:afterLines="50" w:line="400" w:lineRule="exact"/>
        <w:textAlignment w:val="baseline"/>
        <w:rPr>
          <w:bCs/>
          <w:color w:val="auto"/>
          <w:szCs w:val="32"/>
          <w:highlight w:val="none"/>
        </w:rPr>
      </w:pPr>
      <w:bookmarkStart w:id="20" w:name="_Toc21980"/>
      <w:bookmarkStart w:id="21" w:name="_Toc12261"/>
      <w:bookmarkStart w:id="22" w:name="_Toc7325"/>
      <w:bookmarkStart w:id="23" w:name="_Toc78803320"/>
      <w:bookmarkStart w:id="24" w:name="_Toc324404813"/>
      <w:bookmarkStart w:id="25" w:name="_Toc35424883"/>
      <w:bookmarkStart w:id="26" w:name="_Toc506107267"/>
      <w:bookmarkStart w:id="27" w:name="_Toc35425050"/>
      <w:bookmarkStart w:id="28" w:name="_Toc152045527"/>
      <w:bookmarkStart w:id="29" w:name="_Toc144974495"/>
      <w:bookmarkStart w:id="30" w:name="_Toc246996173"/>
      <w:bookmarkStart w:id="31" w:name="_Toc247085687"/>
      <w:bookmarkStart w:id="32" w:name="_Toc15058844"/>
      <w:bookmarkStart w:id="33" w:name="_Toc246996916"/>
      <w:bookmarkStart w:id="34" w:name="_Toc152042303"/>
      <w:bookmarkStart w:id="35" w:name="_Toc179632544"/>
      <w:r>
        <w:rPr>
          <w:rFonts w:hint="eastAsia"/>
          <w:bCs/>
          <w:color w:val="auto"/>
          <w:szCs w:val="32"/>
          <w:highlight w:val="none"/>
          <w:lang w:eastAsia="zh-CN"/>
        </w:rPr>
        <w:t>龙尾山小区顶楼屋面维修工程</w:t>
      </w:r>
      <w:r>
        <w:rPr>
          <w:rFonts w:hint="eastAsia"/>
          <w:bCs/>
          <w:color w:val="auto"/>
          <w:szCs w:val="32"/>
          <w:highlight w:val="none"/>
        </w:rPr>
        <w:t>招标公告信息</w:t>
      </w:r>
      <w:bookmarkEnd w:id="20"/>
      <w:bookmarkEnd w:id="21"/>
      <w:bookmarkEnd w:id="22"/>
      <w:bookmarkEnd w:id="23"/>
    </w:p>
    <w:tbl>
      <w:tblPr>
        <w:tblStyle w:val="46"/>
        <w:tblW w:w="958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Layout w:type="fixed"/>
        <w:tblCellMar>
          <w:top w:w="0" w:type="dxa"/>
          <w:left w:w="108" w:type="dxa"/>
          <w:bottom w:w="0" w:type="dxa"/>
          <w:right w:w="108" w:type="dxa"/>
        </w:tblCellMar>
      </w:tblPr>
      <w:tblGrid>
        <w:gridCol w:w="1511"/>
        <w:gridCol w:w="50"/>
        <w:gridCol w:w="2616"/>
        <w:gridCol w:w="2490"/>
        <w:gridCol w:w="2916"/>
      </w:tblGrid>
      <w:tr w14:paraId="2F91C62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072FD2AA">
            <w:pPr>
              <w:keepNext w:val="0"/>
              <w:keepLines w:val="0"/>
              <w:widowControl w:val="0"/>
              <w:suppressLineNumbers w:val="0"/>
              <w:autoSpaceDE w:val="0"/>
              <w:autoSpaceDN/>
              <w:spacing w:before="0" w:beforeAutospacing="0" w:after="0" w:afterAutospacing="0" w:line="300" w:lineRule="exact"/>
              <w:ind w:left="0" w:right="0"/>
              <w:jc w:val="both"/>
              <w:rPr>
                <w:rFonts w:hint="eastAsia" w:ascii="宋体" w:hAnsi="宋体" w:eastAsia="宋体" w:cs="宋体"/>
                <w:bCs/>
                <w:color w:val="auto"/>
                <w:kern w:val="1"/>
                <w:sz w:val="21"/>
                <w:szCs w:val="21"/>
                <w:highlight w:val="none"/>
              </w:rPr>
            </w:pPr>
            <w:bookmarkStart w:id="36" w:name="_Toc78803321"/>
            <w:r>
              <w:rPr>
                <w:rFonts w:hint="eastAsia" w:ascii="宋体" w:hAnsi="宋体" w:eastAsia="宋体" w:cs="宋体"/>
                <w:bCs/>
                <w:color w:val="auto"/>
                <w:kern w:val="1"/>
                <w:sz w:val="21"/>
                <w:szCs w:val="21"/>
                <w:highlight w:val="none"/>
                <w:lang w:val="en-US" w:eastAsia="zh-CN" w:bidi="ar"/>
              </w:rPr>
              <w:t>招标项目名称</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6B13F094">
            <w:pPr>
              <w:keepNext w:val="0"/>
              <w:keepLines w:val="0"/>
              <w:widowControl w:val="0"/>
              <w:suppressLineNumbers w:val="0"/>
              <w:autoSpaceDE w:val="0"/>
              <w:autoSpaceDN/>
              <w:spacing w:before="0" w:beforeAutospacing="0" w:after="0" w:afterAutospacing="0" w:line="300" w:lineRule="exact"/>
              <w:ind w:left="0" w:right="0"/>
              <w:jc w:val="both"/>
              <w:rPr>
                <w:rFonts w:hint="eastAsia" w:ascii="宋体" w:hAnsi="宋体" w:eastAsia="宋体" w:cs="宋体"/>
                <w:bCs/>
                <w:color w:val="auto"/>
                <w:kern w:val="1"/>
                <w:sz w:val="21"/>
                <w:szCs w:val="21"/>
                <w:highlight w:val="none"/>
                <w:lang w:eastAsia="zh-CN"/>
              </w:rPr>
            </w:pPr>
            <w:r>
              <w:rPr>
                <w:rFonts w:hint="eastAsia" w:ascii="宋体" w:hAnsi="宋体" w:cs="宋体"/>
                <w:bCs/>
                <w:color w:val="auto"/>
                <w:kern w:val="1"/>
                <w:sz w:val="21"/>
                <w:szCs w:val="21"/>
                <w:highlight w:val="none"/>
                <w:lang w:eastAsia="zh-CN"/>
              </w:rPr>
              <w:t>龙尾山小区顶楼屋面维修工程</w:t>
            </w:r>
          </w:p>
        </w:tc>
      </w:tr>
      <w:tr w14:paraId="21749CB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7352BDCD">
            <w:pPr>
              <w:keepNext w:val="0"/>
              <w:keepLines w:val="0"/>
              <w:widowControl w:val="0"/>
              <w:suppressLineNumbers w:val="0"/>
              <w:autoSpaceDE w:val="0"/>
              <w:autoSpaceDN/>
              <w:spacing w:before="0" w:beforeAutospacing="0" w:after="0" w:afterAutospacing="0" w:line="300" w:lineRule="exact"/>
              <w:ind w:left="0" w:right="0"/>
              <w:jc w:val="both"/>
              <w:rPr>
                <w:rFonts w:hint="eastAsia" w:ascii="宋体" w:hAnsi="宋体" w:eastAsia="宋体" w:cs="宋体"/>
                <w:bCs/>
                <w:color w:val="auto"/>
                <w:kern w:val="1"/>
                <w:sz w:val="21"/>
                <w:szCs w:val="21"/>
                <w:highlight w:val="none"/>
                <w:lang w:val="en-US" w:eastAsia="zh-CN" w:bidi="ar"/>
              </w:rPr>
            </w:pPr>
            <w:r>
              <w:rPr>
                <w:rFonts w:hint="eastAsia" w:ascii="宋体" w:hAnsi="宋体" w:eastAsia="宋体" w:cs="宋体"/>
                <w:bCs/>
                <w:color w:val="auto"/>
                <w:kern w:val="1"/>
                <w:sz w:val="21"/>
                <w:szCs w:val="21"/>
                <w:highlight w:val="none"/>
                <w:lang w:val="en-US" w:eastAsia="zh-CN" w:bidi="ar"/>
              </w:rPr>
              <w:t>项目编号</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64DDBD3F">
            <w:pPr>
              <w:keepNext w:val="0"/>
              <w:keepLines w:val="0"/>
              <w:widowControl w:val="0"/>
              <w:suppressLineNumbers w:val="0"/>
              <w:autoSpaceDE w:val="0"/>
              <w:autoSpaceDN/>
              <w:spacing w:before="0" w:beforeAutospacing="0" w:after="0" w:afterAutospacing="0" w:line="300" w:lineRule="exact"/>
              <w:ind w:left="0" w:right="0"/>
              <w:jc w:val="both"/>
              <w:rPr>
                <w:rFonts w:hint="eastAsia" w:ascii="宋体" w:hAnsi="宋体" w:cs="宋体"/>
                <w:bCs/>
                <w:color w:val="auto"/>
                <w:kern w:val="1"/>
                <w:sz w:val="21"/>
                <w:szCs w:val="21"/>
                <w:highlight w:val="none"/>
                <w:lang w:eastAsia="zh-CN"/>
              </w:rPr>
            </w:pPr>
            <w:r>
              <w:rPr>
                <w:rFonts w:hint="eastAsia" w:ascii="宋体" w:hAnsi="宋体" w:cs="宋体"/>
                <w:bCs/>
                <w:color w:val="auto"/>
                <w:kern w:val="1"/>
                <w:sz w:val="21"/>
                <w:szCs w:val="21"/>
                <w:highlight w:val="none"/>
                <w:lang w:eastAsia="zh-CN"/>
              </w:rPr>
              <w:t>HXJY1110001051848001</w:t>
            </w:r>
          </w:p>
        </w:tc>
      </w:tr>
      <w:tr w14:paraId="4AFEFB3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6729EF41">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招标方式</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38B69534">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公开招标</w:t>
            </w:r>
          </w:p>
        </w:tc>
      </w:tr>
      <w:tr w14:paraId="3C10E18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656F9382">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是否为网上电</w:t>
            </w:r>
          </w:p>
          <w:p w14:paraId="2F93F383">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子招投标项目</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49F5D0A2">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是</w:t>
            </w:r>
          </w:p>
        </w:tc>
      </w:tr>
      <w:tr w14:paraId="28AA64B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9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3D5ABAE9">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投标资质要求</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003D21CE">
            <w:pPr>
              <w:keepNext w:val="0"/>
              <w:keepLines w:val="0"/>
              <w:widowControl/>
              <w:suppressLineNumbers w:val="0"/>
              <w:autoSpaceDE w:val="0"/>
              <w:autoSpaceDN/>
              <w:spacing w:before="0" w:beforeAutospacing="0" w:after="0" w:afterAutospacing="0" w:line="440" w:lineRule="exact"/>
              <w:ind w:left="0" w:right="0"/>
              <w:jc w:val="left"/>
              <w:rPr>
                <w:rFonts w:hint="default" w:ascii="宋体" w:hAnsi="宋体" w:eastAsia="宋体" w:cs="宋体"/>
                <w:bCs/>
                <w:color w:val="auto"/>
                <w:kern w:val="0"/>
                <w:sz w:val="21"/>
                <w:szCs w:val="21"/>
                <w:highlight w:val="none"/>
                <w:lang w:val="en-US" w:eastAsia="zh-CN" w:bidi="ar"/>
              </w:rPr>
            </w:pPr>
            <w:r>
              <w:rPr>
                <w:rFonts w:hint="eastAsia" w:ascii="宋体" w:hAnsi="宋体" w:eastAsia="宋体" w:cs="宋体"/>
                <w:bCs/>
                <w:color w:val="auto"/>
                <w:kern w:val="0"/>
                <w:sz w:val="21"/>
                <w:szCs w:val="21"/>
                <w:highlight w:val="none"/>
                <w:lang w:val="en-US" w:eastAsia="zh-CN" w:bidi="ar"/>
              </w:rPr>
              <w:t>1、投标人要求：须具备建设行政主管部门颁发的</w:t>
            </w:r>
            <w:r>
              <w:rPr>
                <w:rFonts w:hint="eastAsia" w:ascii="宋体" w:hAnsi="宋体" w:cs="宋体"/>
                <w:bCs/>
                <w:color w:val="auto"/>
                <w:kern w:val="0"/>
                <w:sz w:val="21"/>
                <w:szCs w:val="21"/>
                <w:highlight w:val="none"/>
                <w:lang w:val="en-US" w:eastAsia="zh-CN" w:bidi="ar"/>
              </w:rPr>
              <w:t>建筑</w:t>
            </w:r>
            <w:r>
              <w:rPr>
                <w:rFonts w:hint="eastAsia" w:ascii="宋体" w:hAnsi="宋体" w:eastAsia="宋体" w:cs="宋体"/>
                <w:bCs/>
                <w:color w:val="auto"/>
                <w:kern w:val="0"/>
                <w:sz w:val="21"/>
                <w:szCs w:val="21"/>
                <w:highlight w:val="none"/>
                <w:lang w:val="en-US" w:eastAsia="zh-CN" w:bidi="ar"/>
              </w:rPr>
              <w:t>工程施工总承包叁级（或以上）资质</w:t>
            </w:r>
            <w:r>
              <w:rPr>
                <w:rFonts w:hint="eastAsia" w:ascii="宋体" w:hAnsi="宋体" w:cs="宋体"/>
                <w:bCs/>
                <w:color w:val="auto"/>
                <w:kern w:val="0"/>
                <w:sz w:val="21"/>
                <w:szCs w:val="21"/>
                <w:highlight w:val="none"/>
                <w:lang w:val="en-US" w:eastAsia="zh-CN" w:bidi="ar"/>
              </w:rPr>
              <w:t>，且具有有效的企业安全生产许可证；</w:t>
            </w:r>
          </w:p>
          <w:p w14:paraId="06FE3176">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bidi="ar"/>
              </w:rPr>
              <w:t>2、项目经理（建造师）要求：</w:t>
            </w:r>
            <w:r>
              <w:rPr>
                <w:rFonts w:hint="eastAsia" w:ascii="宋体" w:hAnsi="宋体" w:cs="宋体"/>
                <w:bCs/>
                <w:color w:val="auto"/>
                <w:kern w:val="0"/>
                <w:sz w:val="21"/>
                <w:szCs w:val="21"/>
                <w:highlight w:val="none"/>
                <w:lang w:val="en-US" w:eastAsia="zh-CN" w:bidi="ar"/>
              </w:rPr>
              <w:t>须</w:t>
            </w:r>
            <w:r>
              <w:rPr>
                <w:rFonts w:hint="eastAsia" w:ascii="宋体" w:hAnsi="宋体" w:eastAsia="宋体" w:cs="宋体"/>
                <w:bCs/>
                <w:color w:val="auto"/>
                <w:kern w:val="0"/>
                <w:sz w:val="21"/>
                <w:szCs w:val="21"/>
                <w:highlight w:val="none"/>
                <w:lang w:val="en-US" w:eastAsia="zh-CN" w:bidi="ar"/>
              </w:rPr>
              <w:t>具有注册在投标单位的</w:t>
            </w:r>
            <w:r>
              <w:rPr>
                <w:rFonts w:hint="eastAsia" w:ascii="宋体" w:hAnsi="宋体" w:cs="宋体"/>
                <w:bCs/>
                <w:color w:val="auto"/>
                <w:kern w:val="0"/>
                <w:sz w:val="21"/>
                <w:szCs w:val="21"/>
                <w:highlight w:val="none"/>
                <w:lang w:val="en-US" w:eastAsia="zh-CN" w:bidi="ar"/>
              </w:rPr>
              <w:t>建筑</w:t>
            </w:r>
            <w:r>
              <w:rPr>
                <w:rFonts w:hint="eastAsia" w:ascii="宋体" w:hAnsi="宋体" w:eastAsia="宋体" w:cs="宋体"/>
                <w:bCs/>
                <w:color w:val="auto"/>
                <w:kern w:val="0"/>
                <w:sz w:val="21"/>
                <w:szCs w:val="21"/>
                <w:highlight w:val="none"/>
                <w:lang w:val="en-US" w:eastAsia="zh-CN" w:bidi="ar"/>
              </w:rPr>
              <w:t>工程专业二级（或以上）注册建造师资格，且具备有效的安全生产考核合格(B类)证书。</w:t>
            </w:r>
          </w:p>
        </w:tc>
      </w:tr>
      <w:tr w14:paraId="534545C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404"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26B10510">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是否接受联合体投标</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11907A21">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不接受</w:t>
            </w:r>
          </w:p>
        </w:tc>
      </w:tr>
      <w:tr w14:paraId="3AC4ABF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3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41C26438">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招标项目规模</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3EB799CB">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估算价约</w:t>
            </w:r>
            <w:bookmarkStart w:id="980" w:name="_GoBack"/>
            <w:bookmarkEnd w:id="980"/>
            <w:r>
              <w:rPr>
                <w:rFonts w:hint="eastAsia" w:ascii="宋体" w:hAnsi="宋体" w:cs="宋体"/>
                <w:color w:val="auto"/>
                <w:kern w:val="0"/>
                <w:sz w:val="21"/>
                <w:szCs w:val="21"/>
                <w:highlight w:val="none"/>
                <w:lang w:val="en-US" w:eastAsia="zh-CN" w:bidi="ar"/>
              </w:rPr>
              <w:t>46万元</w:t>
            </w:r>
          </w:p>
        </w:tc>
      </w:tr>
      <w:tr w14:paraId="14A8956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73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389FDFF9">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招标项目内容范围</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7D9B49AA">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招标人提供的全套设计施工图纸及工程量清单中的全部内容</w:t>
            </w:r>
          </w:p>
        </w:tc>
      </w:tr>
      <w:tr w14:paraId="7E648D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65"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06DC6760">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招标公告发布时间</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7FF89A53">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202</w:t>
            </w:r>
            <w:r>
              <w:rPr>
                <w:rFonts w:hint="eastAsia" w:ascii="宋体" w:hAnsi="宋体" w:cs="宋体"/>
                <w:b w:val="0"/>
                <w:bCs w:val="0"/>
                <w:color w:val="auto"/>
                <w:kern w:val="0"/>
                <w:sz w:val="21"/>
                <w:szCs w:val="21"/>
                <w:highlight w:val="none"/>
                <w:lang w:val="en-US" w:eastAsia="zh-CN" w:bidi="ar"/>
              </w:rPr>
              <w:t>6</w:t>
            </w:r>
            <w:r>
              <w:rPr>
                <w:rFonts w:hint="eastAsia" w:ascii="宋体" w:hAnsi="宋体" w:eastAsia="宋体" w:cs="宋体"/>
                <w:b w:val="0"/>
                <w:bCs w:val="0"/>
                <w:color w:val="auto"/>
                <w:kern w:val="0"/>
                <w:sz w:val="21"/>
                <w:szCs w:val="21"/>
                <w:highlight w:val="none"/>
                <w:lang w:val="en-US" w:eastAsia="zh-CN" w:bidi="ar"/>
              </w:rPr>
              <w:t>年</w:t>
            </w:r>
            <w:r>
              <w:rPr>
                <w:rFonts w:hint="eastAsia" w:ascii="宋体" w:hAnsi="宋体" w:cs="宋体"/>
                <w:b w:val="0"/>
                <w:bCs w:val="0"/>
                <w:color w:val="auto"/>
                <w:kern w:val="0"/>
                <w:sz w:val="21"/>
                <w:szCs w:val="21"/>
                <w:highlight w:val="none"/>
                <w:lang w:val="en-US" w:eastAsia="zh-CN" w:bidi="ar"/>
              </w:rPr>
              <w:t>2</w:t>
            </w:r>
            <w:r>
              <w:rPr>
                <w:rFonts w:hint="eastAsia" w:ascii="宋体" w:hAnsi="宋体" w:eastAsia="宋体" w:cs="宋体"/>
                <w:b w:val="0"/>
                <w:bCs w:val="0"/>
                <w:color w:val="auto"/>
                <w:kern w:val="0"/>
                <w:sz w:val="21"/>
                <w:szCs w:val="21"/>
                <w:highlight w:val="none"/>
                <w:lang w:val="en-US" w:eastAsia="zh-CN" w:bidi="ar"/>
              </w:rPr>
              <w:t>月</w:t>
            </w:r>
            <w:r>
              <w:rPr>
                <w:rFonts w:hint="eastAsia" w:ascii="宋体" w:hAnsi="宋体" w:cs="宋体"/>
                <w:b w:val="0"/>
                <w:bCs w:val="0"/>
                <w:color w:val="auto"/>
                <w:kern w:val="0"/>
                <w:sz w:val="21"/>
                <w:szCs w:val="21"/>
                <w:highlight w:val="none"/>
                <w:lang w:val="en-US" w:eastAsia="zh-CN" w:bidi="ar"/>
              </w:rPr>
              <w:t>13</w:t>
            </w:r>
            <w:r>
              <w:rPr>
                <w:rFonts w:hint="eastAsia" w:ascii="宋体" w:hAnsi="宋体" w:eastAsia="宋体" w:cs="宋体"/>
                <w:b w:val="0"/>
                <w:bCs w:val="0"/>
                <w:color w:val="auto"/>
                <w:kern w:val="0"/>
                <w:sz w:val="21"/>
                <w:szCs w:val="21"/>
                <w:highlight w:val="none"/>
                <w:lang w:val="en-US" w:eastAsia="zh-CN" w:bidi="ar"/>
              </w:rPr>
              <w:t>日</w:t>
            </w:r>
          </w:p>
        </w:tc>
      </w:tr>
      <w:tr w14:paraId="3FD1149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82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7D44BE50">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递交投标文件的截止时间</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6EF2CC56">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202</w:t>
            </w:r>
            <w:r>
              <w:rPr>
                <w:rFonts w:hint="eastAsia" w:ascii="宋体" w:hAnsi="宋体" w:cs="宋体"/>
                <w:b w:val="0"/>
                <w:bCs w:val="0"/>
                <w:color w:val="auto"/>
                <w:kern w:val="0"/>
                <w:sz w:val="21"/>
                <w:szCs w:val="21"/>
                <w:highlight w:val="none"/>
                <w:lang w:val="en-US" w:eastAsia="zh-CN" w:bidi="ar"/>
              </w:rPr>
              <w:t>6</w:t>
            </w:r>
            <w:r>
              <w:rPr>
                <w:rFonts w:hint="eastAsia" w:ascii="宋体" w:hAnsi="宋体" w:eastAsia="宋体" w:cs="宋体"/>
                <w:b w:val="0"/>
                <w:bCs w:val="0"/>
                <w:color w:val="auto"/>
                <w:kern w:val="0"/>
                <w:sz w:val="21"/>
                <w:szCs w:val="21"/>
                <w:highlight w:val="none"/>
                <w:lang w:val="en-US" w:eastAsia="zh-CN" w:bidi="ar"/>
              </w:rPr>
              <w:t>年</w:t>
            </w:r>
            <w:r>
              <w:rPr>
                <w:rFonts w:hint="eastAsia" w:ascii="宋体" w:hAnsi="宋体" w:cs="宋体"/>
                <w:b w:val="0"/>
                <w:bCs w:val="0"/>
                <w:color w:val="auto"/>
                <w:kern w:val="0"/>
                <w:sz w:val="21"/>
                <w:szCs w:val="21"/>
                <w:highlight w:val="none"/>
                <w:lang w:val="en-US" w:eastAsia="zh-CN" w:bidi="ar"/>
              </w:rPr>
              <w:t>2</w:t>
            </w:r>
            <w:r>
              <w:rPr>
                <w:rFonts w:hint="eastAsia" w:ascii="宋体" w:hAnsi="宋体" w:eastAsia="宋体" w:cs="宋体"/>
                <w:b w:val="0"/>
                <w:bCs w:val="0"/>
                <w:color w:val="auto"/>
                <w:kern w:val="0"/>
                <w:sz w:val="21"/>
                <w:szCs w:val="21"/>
                <w:highlight w:val="none"/>
                <w:lang w:val="en-US" w:eastAsia="zh-CN" w:bidi="ar"/>
              </w:rPr>
              <w:t>月</w:t>
            </w:r>
            <w:r>
              <w:rPr>
                <w:rFonts w:hint="eastAsia" w:ascii="宋体" w:hAnsi="宋体" w:cs="宋体"/>
                <w:b w:val="0"/>
                <w:bCs w:val="0"/>
                <w:color w:val="auto"/>
                <w:kern w:val="0"/>
                <w:sz w:val="21"/>
                <w:szCs w:val="21"/>
                <w:highlight w:val="none"/>
                <w:lang w:val="en-US" w:eastAsia="zh-CN" w:bidi="ar"/>
              </w:rPr>
              <w:t>27</w:t>
            </w:r>
            <w:r>
              <w:rPr>
                <w:rFonts w:hint="eastAsia" w:ascii="宋体" w:hAnsi="宋体" w:eastAsia="宋体" w:cs="宋体"/>
                <w:b w:val="0"/>
                <w:bCs w:val="0"/>
                <w:color w:val="auto"/>
                <w:kern w:val="0"/>
                <w:sz w:val="21"/>
                <w:szCs w:val="21"/>
                <w:highlight w:val="none"/>
                <w:lang w:val="en-US" w:eastAsia="zh-CN" w:bidi="ar"/>
              </w:rPr>
              <w:t>日</w:t>
            </w:r>
            <w:r>
              <w:rPr>
                <w:rFonts w:hint="eastAsia" w:ascii="宋体" w:hAnsi="宋体" w:cs="宋体"/>
                <w:b w:val="0"/>
                <w:bCs w:val="0"/>
                <w:color w:val="auto"/>
                <w:kern w:val="0"/>
                <w:sz w:val="21"/>
                <w:szCs w:val="21"/>
                <w:highlight w:val="none"/>
                <w:lang w:val="en-US" w:eastAsia="zh-CN" w:bidi="ar"/>
              </w:rPr>
              <w:t>8</w:t>
            </w:r>
            <w:r>
              <w:rPr>
                <w:rFonts w:hint="eastAsia" w:ascii="宋体" w:hAnsi="宋体" w:eastAsia="宋体" w:cs="宋体"/>
                <w:b w:val="0"/>
                <w:bCs w:val="0"/>
                <w:color w:val="auto"/>
                <w:kern w:val="0"/>
                <w:sz w:val="21"/>
                <w:szCs w:val="21"/>
                <w:highlight w:val="none"/>
                <w:lang w:val="en-US" w:eastAsia="zh-CN" w:bidi="ar"/>
              </w:rPr>
              <w:t>时</w:t>
            </w:r>
            <w:r>
              <w:rPr>
                <w:rFonts w:hint="eastAsia" w:ascii="宋体" w:hAnsi="宋体" w:cs="宋体"/>
                <w:b w:val="0"/>
                <w:bCs w:val="0"/>
                <w:color w:val="auto"/>
                <w:kern w:val="0"/>
                <w:sz w:val="21"/>
                <w:szCs w:val="21"/>
                <w:highlight w:val="none"/>
                <w:lang w:val="en-US" w:eastAsia="zh-CN" w:bidi="ar"/>
              </w:rPr>
              <w:t>30分</w:t>
            </w:r>
            <w:r>
              <w:rPr>
                <w:rFonts w:hint="eastAsia" w:ascii="宋体" w:hAnsi="宋体" w:eastAsia="宋体" w:cs="宋体"/>
                <w:b w:val="0"/>
                <w:bCs w:val="0"/>
                <w:color w:val="auto"/>
                <w:kern w:val="0"/>
                <w:sz w:val="21"/>
                <w:szCs w:val="21"/>
                <w:highlight w:val="none"/>
                <w:lang w:val="en-US" w:eastAsia="zh-CN" w:bidi="ar"/>
              </w:rPr>
              <w:t>(北京时间)</w:t>
            </w:r>
          </w:p>
        </w:tc>
      </w:tr>
      <w:tr w14:paraId="45FA8AD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41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0E8533C2">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开标时间</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36B95FFC">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202</w:t>
            </w:r>
            <w:r>
              <w:rPr>
                <w:rFonts w:hint="eastAsia" w:ascii="宋体" w:hAnsi="宋体" w:cs="宋体"/>
                <w:b w:val="0"/>
                <w:bCs w:val="0"/>
                <w:color w:val="auto"/>
                <w:kern w:val="0"/>
                <w:sz w:val="21"/>
                <w:szCs w:val="21"/>
                <w:highlight w:val="none"/>
                <w:lang w:val="en-US" w:eastAsia="zh-CN" w:bidi="ar"/>
              </w:rPr>
              <w:t>6</w:t>
            </w:r>
            <w:r>
              <w:rPr>
                <w:rFonts w:hint="eastAsia" w:ascii="宋体" w:hAnsi="宋体" w:eastAsia="宋体" w:cs="宋体"/>
                <w:b w:val="0"/>
                <w:bCs w:val="0"/>
                <w:color w:val="auto"/>
                <w:kern w:val="0"/>
                <w:sz w:val="21"/>
                <w:szCs w:val="21"/>
                <w:highlight w:val="none"/>
                <w:lang w:val="en-US" w:eastAsia="zh-CN" w:bidi="ar"/>
              </w:rPr>
              <w:t>年</w:t>
            </w:r>
            <w:r>
              <w:rPr>
                <w:rFonts w:hint="eastAsia" w:ascii="宋体" w:hAnsi="宋体" w:cs="宋体"/>
                <w:b w:val="0"/>
                <w:bCs w:val="0"/>
                <w:color w:val="auto"/>
                <w:kern w:val="0"/>
                <w:sz w:val="21"/>
                <w:szCs w:val="21"/>
                <w:highlight w:val="none"/>
                <w:lang w:val="en-US" w:eastAsia="zh-CN" w:bidi="ar"/>
              </w:rPr>
              <w:t>2</w:t>
            </w:r>
            <w:r>
              <w:rPr>
                <w:rFonts w:hint="eastAsia" w:ascii="宋体" w:hAnsi="宋体" w:eastAsia="宋体" w:cs="宋体"/>
                <w:b w:val="0"/>
                <w:bCs w:val="0"/>
                <w:color w:val="auto"/>
                <w:kern w:val="0"/>
                <w:sz w:val="21"/>
                <w:szCs w:val="21"/>
                <w:highlight w:val="none"/>
                <w:lang w:val="en-US" w:eastAsia="zh-CN" w:bidi="ar"/>
              </w:rPr>
              <w:t>月</w:t>
            </w:r>
            <w:r>
              <w:rPr>
                <w:rFonts w:hint="eastAsia" w:ascii="宋体" w:hAnsi="宋体" w:cs="宋体"/>
                <w:b w:val="0"/>
                <w:bCs w:val="0"/>
                <w:color w:val="auto"/>
                <w:kern w:val="0"/>
                <w:sz w:val="21"/>
                <w:szCs w:val="21"/>
                <w:highlight w:val="none"/>
                <w:lang w:val="en-US" w:eastAsia="zh-CN" w:bidi="ar"/>
              </w:rPr>
              <w:t>27</w:t>
            </w:r>
            <w:r>
              <w:rPr>
                <w:rFonts w:hint="eastAsia" w:ascii="宋体" w:hAnsi="宋体" w:eastAsia="宋体" w:cs="宋体"/>
                <w:b w:val="0"/>
                <w:bCs w:val="0"/>
                <w:color w:val="auto"/>
                <w:kern w:val="0"/>
                <w:sz w:val="21"/>
                <w:szCs w:val="21"/>
                <w:highlight w:val="none"/>
                <w:lang w:val="en-US" w:eastAsia="zh-CN" w:bidi="ar"/>
              </w:rPr>
              <w:t>日</w:t>
            </w:r>
            <w:r>
              <w:rPr>
                <w:rFonts w:hint="eastAsia" w:ascii="宋体" w:hAnsi="宋体" w:cs="宋体"/>
                <w:b w:val="0"/>
                <w:bCs w:val="0"/>
                <w:color w:val="auto"/>
                <w:kern w:val="0"/>
                <w:sz w:val="21"/>
                <w:szCs w:val="21"/>
                <w:highlight w:val="none"/>
                <w:lang w:val="en-US" w:eastAsia="zh-CN" w:bidi="ar"/>
              </w:rPr>
              <w:t>8</w:t>
            </w:r>
            <w:r>
              <w:rPr>
                <w:rFonts w:hint="eastAsia" w:ascii="宋体" w:hAnsi="宋体" w:eastAsia="宋体" w:cs="宋体"/>
                <w:b w:val="0"/>
                <w:bCs w:val="0"/>
                <w:color w:val="auto"/>
                <w:kern w:val="0"/>
                <w:sz w:val="21"/>
                <w:szCs w:val="21"/>
                <w:highlight w:val="none"/>
                <w:lang w:val="en-US" w:eastAsia="zh-CN" w:bidi="ar"/>
              </w:rPr>
              <w:t>时</w:t>
            </w:r>
            <w:r>
              <w:rPr>
                <w:rFonts w:hint="eastAsia" w:ascii="宋体" w:hAnsi="宋体" w:cs="宋体"/>
                <w:b w:val="0"/>
                <w:bCs w:val="0"/>
                <w:color w:val="auto"/>
                <w:kern w:val="0"/>
                <w:sz w:val="21"/>
                <w:szCs w:val="21"/>
                <w:highlight w:val="none"/>
                <w:lang w:val="en-US" w:eastAsia="zh-CN" w:bidi="ar"/>
              </w:rPr>
              <w:t>30分</w:t>
            </w:r>
            <w:r>
              <w:rPr>
                <w:rFonts w:hint="eastAsia" w:ascii="宋体" w:hAnsi="宋体" w:eastAsia="宋体" w:cs="宋体"/>
                <w:b w:val="0"/>
                <w:bCs w:val="0"/>
                <w:color w:val="auto"/>
                <w:kern w:val="0"/>
                <w:sz w:val="21"/>
                <w:szCs w:val="21"/>
                <w:highlight w:val="none"/>
                <w:lang w:val="en-US" w:eastAsia="zh-CN" w:bidi="ar"/>
              </w:rPr>
              <w:t>(北京时间)</w:t>
            </w:r>
          </w:p>
        </w:tc>
      </w:tr>
      <w:tr w14:paraId="7359A6F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15"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1EF4CEE2">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开标地点</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2ED85F8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网上开标，投标人登录滁州市城投工程咨询</w:t>
            </w:r>
            <w:r>
              <w:rPr>
                <w:rFonts w:hint="eastAsia" w:ascii="宋体" w:hAnsi="宋体" w:cs="宋体"/>
                <w:b/>
                <w:bCs/>
                <w:color w:val="auto"/>
                <w:kern w:val="0"/>
                <w:sz w:val="21"/>
                <w:szCs w:val="21"/>
                <w:highlight w:val="none"/>
                <w:lang w:val="en-US" w:eastAsia="zh-CN"/>
              </w:rPr>
              <w:t>管理</w:t>
            </w:r>
            <w:r>
              <w:rPr>
                <w:rFonts w:hint="eastAsia" w:ascii="宋体" w:hAnsi="宋体" w:eastAsia="宋体" w:cs="宋体"/>
                <w:b/>
                <w:bCs/>
                <w:color w:val="auto"/>
                <w:kern w:val="0"/>
                <w:sz w:val="21"/>
                <w:szCs w:val="21"/>
                <w:highlight w:val="none"/>
              </w:rPr>
              <w:t>有限公司不见面开标系统参与网上开标（网址：http://js.etrading.cn/EpointBidOpening/bidopeninghallaction/hall/login）</w:t>
            </w:r>
          </w:p>
        </w:tc>
      </w:tr>
      <w:tr w14:paraId="2FF84D0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0" w:hRule="atLeast"/>
          <w:jc w:val="center"/>
        </w:trPr>
        <w:tc>
          <w:tcPr>
            <w:tcW w:w="1561"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4C24CCA1">
            <w:pPr>
              <w:keepNext w:val="0"/>
              <w:keepLines w:val="0"/>
              <w:widowControl/>
              <w:suppressLineNumbers w:val="0"/>
              <w:autoSpaceDE w:val="0"/>
              <w:autoSpaceDN/>
              <w:spacing w:before="0" w:beforeAutospacing="0" w:after="0" w:afterAutospacing="0" w:line="3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招标文件售价</w:t>
            </w:r>
          </w:p>
        </w:tc>
        <w:tc>
          <w:tcPr>
            <w:tcW w:w="8022"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601677A5">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0元</w:t>
            </w:r>
          </w:p>
        </w:tc>
      </w:tr>
      <w:tr w14:paraId="7ED012F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485" w:hRule="atLeast"/>
          <w:jc w:val="center"/>
        </w:trPr>
        <w:tc>
          <w:tcPr>
            <w:tcW w:w="9583" w:type="dxa"/>
            <w:gridSpan w:val="5"/>
            <w:tcBorders>
              <w:top w:val="single" w:color="auto" w:sz="12" w:space="0"/>
              <w:left w:val="single" w:color="auto" w:sz="12" w:space="0"/>
              <w:bottom w:val="single" w:color="auto" w:sz="12" w:space="0"/>
              <w:right w:val="single" w:color="auto" w:sz="12" w:space="0"/>
            </w:tcBorders>
            <w:shd w:val="clear" w:color="auto" w:fill="auto"/>
            <w:vAlign w:val="center"/>
          </w:tcPr>
          <w:p w14:paraId="0637FE1A">
            <w:pPr>
              <w:keepNext w:val="0"/>
              <w:keepLines w:val="0"/>
              <w:widowControl w:val="0"/>
              <w:suppressLineNumbers w:val="0"/>
              <w:autoSpaceDE w:val="0"/>
              <w:autoSpaceDN/>
              <w:spacing w:before="0" w:beforeAutospacing="0" w:after="0" w:afterAutospacing="0" w:line="30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信  息  内  容</w:t>
            </w:r>
          </w:p>
        </w:tc>
      </w:tr>
      <w:tr w14:paraId="59DD9AB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872"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3E91C43D">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工程概况</w:t>
            </w:r>
          </w:p>
        </w:tc>
        <w:tc>
          <w:tcPr>
            <w:tcW w:w="807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0B617844">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bidi="ar"/>
              </w:rPr>
              <w:t>本工程建设内容包括</w:t>
            </w:r>
            <w:r>
              <w:rPr>
                <w:rFonts w:hint="eastAsia" w:ascii="宋体" w:hAnsi="宋体" w:cs="宋体"/>
                <w:bCs/>
                <w:color w:val="auto"/>
                <w:kern w:val="0"/>
                <w:sz w:val="21"/>
                <w:szCs w:val="21"/>
                <w:highlight w:val="none"/>
                <w:lang w:val="en-US" w:eastAsia="zh-CN" w:bidi="ar"/>
              </w:rPr>
              <w:t>平屋面和瓦屋面维修</w:t>
            </w:r>
            <w:r>
              <w:rPr>
                <w:rFonts w:hint="eastAsia" w:ascii="宋体" w:hAnsi="宋体" w:eastAsia="宋体" w:cs="宋体"/>
                <w:bCs/>
                <w:color w:val="auto"/>
                <w:kern w:val="0"/>
                <w:sz w:val="21"/>
                <w:szCs w:val="21"/>
                <w:highlight w:val="none"/>
                <w:lang w:val="en-US" w:eastAsia="zh-CN" w:bidi="ar"/>
              </w:rPr>
              <w:t>，具体内容详见施工图纸及工程量清单。</w:t>
            </w:r>
          </w:p>
        </w:tc>
      </w:tr>
      <w:tr w14:paraId="6AA946F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5D496C9B">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标段划分</w:t>
            </w:r>
          </w:p>
        </w:tc>
        <w:tc>
          <w:tcPr>
            <w:tcW w:w="8072" w:type="dxa"/>
            <w:gridSpan w:val="4"/>
            <w:tcBorders>
              <w:top w:val="single" w:color="auto" w:sz="12" w:space="0"/>
              <w:left w:val="single" w:color="auto" w:sz="12" w:space="0"/>
              <w:bottom w:val="single" w:color="auto" w:sz="12" w:space="0"/>
              <w:right w:val="single" w:color="auto" w:sz="12" w:space="0"/>
            </w:tcBorders>
            <w:shd w:val="clear" w:color="auto" w:fill="auto"/>
            <w:vAlign w:val="center"/>
          </w:tcPr>
          <w:p w14:paraId="710B4FEB">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一个标段</w:t>
            </w:r>
          </w:p>
        </w:tc>
      </w:tr>
      <w:tr w14:paraId="156FD47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61AE1011">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评标办法</w:t>
            </w:r>
          </w:p>
        </w:tc>
        <w:tc>
          <w:tcPr>
            <w:tcW w:w="2666"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773AC091">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综合评估法</w:t>
            </w:r>
          </w:p>
        </w:tc>
        <w:tc>
          <w:tcPr>
            <w:tcW w:w="2490" w:type="dxa"/>
            <w:tcBorders>
              <w:top w:val="single" w:color="auto" w:sz="12" w:space="0"/>
              <w:left w:val="single" w:color="auto" w:sz="12" w:space="0"/>
              <w:bottom w:val="single" w:color="auto" w:sz="12" w:space="0"/>
              <w:right w:val="single" w:color="auto" w:sz="12" w:space="0"/>
            </w:tcBorders>
            <w:shd w:val="clear" w:color="auto" w:fill="auto"/>
            <w:vAlign w:val="center"/>
          </w:tcPr>
          <w:p w14:paraId="0A4CE88C">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工程款支付方式</w:t>
            </w:r>
          </w:p>
        </w:tc>
        <w:tc>
          <w:tcPr>
            <w:tcW w:w="2916" w:type="dxa"/>
            <w:tcBorders>
              <w:top w:val="single" w:color="auto" w:sz="12" w:space="0"/>
              <w:left w:val="single" w:color="auto" w:sz="12" w:space="0"/>
              <w:bottom w:val="single" w:color="auto" w:sz="12" w:space="0"/>
              <w:right w:val="single" w:color="auto" w:sz="12" w:space="0"/>
            </w:tcBorders>
            <w:shd w:val="clear" w:color="auto" w:fill="auto"/>
            <w:vAlign w:val="center"/>
          </w:tcPr>
          <w:p w14:paraId="02A683A9">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详见招标文件</w:t>
            </w:r>
          </w:p>
        </w:tc>
      </w:tr>
      <w:tr w14:paraId="05B6EEC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1E5C7323">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工程概算</w:t>
            </w:r>
          </w:p>
        </w:tc>
        <w:tc>
          <w:tcPr>
            <w:tcW w:w="2666"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155EB617">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约</w:t>
            </w:r>
            <w:r>
              <w:rPr>
                <w:rFonts w:hint="eastAsia" w:ascii="宋体" w:hAnsi="宋体" w:cs="宋体"/>
                <w:color w:val="auto"/>
                <w:kern w:val="2"/>
                <w:sz w:val="21"/>
                <w:szCs w:val="21"/>
                <w:highlight w:val="none"/>
                <w:lang w:val="en-US" w:eastAsia="zh-CN" w:bidi="ar"/>
              </w:rPr>
              <w:t>46万元</w:t>
            </w:r>
          </w:p>
        </w:tc>
        <w:tc>
          <w:tcPr>
            <w:tcW w:w="2490" w:type="dxa"/>
            <w:tcBorders>
              <w:top w:val="single" w:color="auto" w:sz="12" w:space="0"/>
              <w:left w:val="single" w:color="auto" w:sz="12" w:space="0"/>
              <w:bottom w:val="single" w:color="auto" w:sz="12" w:space="0"/>
              <w:right w:val="single" w:color="auto" w:sz="12" w:space="0"/>
            </w:tcBorders>
            <w:shd w:val="clear" w:color="auto" w:fill="auto"/>
            <w:vAlign w:val="center"/>
          </w:tcPr>
          <w:p w14:paraId="00226628">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计划工期</w:t>
            </w:r>
          </w:p>
        </w:tc>
        <w:tc>
          <w:tcPr>
            <w:tcW w:w="2916" w:type="dxa"/>
            <w:tcBorders>
              <w:top w:val="single" w:color="auto" w:sz="12" w:space="0"/>
              <w:left w:val="single" w:color="auto" w:sz="12" w:space="0"/>
              <w:bottom w:val="single" w:color="auto" w:sz="12" w:space="0"/>
              <w:right w:val="single" w:color="auto" w:sz="12" w:space="0"/>
            </w:tcBorders>
            <w:shd w:val="clear" w:color="auto" w:fill="auto"/>
            <w:vAlign w:val="center"/>
          </w:tcPr>
          <w:p w14:paraId="115C3EAE">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详见招标文件</w:t>
            </w:r>
          </w:p>
        </w:tc>
      </w:tr>
      <w:tr w14:paraId="28D5C38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1511" w:type="dxa"/>
            <w:tcBorders>
              <w:top w:val="single" w:color="auto" w:sz="12" w:space="0"/>
              <w:left w:val="single" w:color="auto" w:sz="12" w:space="0"/>
              <w:bottom w:val="single" w:color="auto" w:sz="12" w:space="0"/>
              <w:right w:val="single" w:color="auto" w:sz="12" w:space="0"/>
            </w:tcBorders>
            <w:shd w:val="clear" w:color="auto" w:fill="auto"/>
            <w:vAlign w:val="center"/>
          </w:tcPr>
          <w:p w14:paraId="6ACDCFA6">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资金来源</w:t>
            </w:r>
          </w:p>
        </w:tc>
        <w:tc>
          <w:tcPr>
            <w:tcW w:w="2666"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19FBB435">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bidi="ar"/>
              </w:rPr>
              <w:t>自筹</w:t>
            </w:r>
            <w:r>
              <w:rPr>
                <w:rFonts w:hint="eastAsia" w:ascii="宋体" w:hAnsi="宋体" w:eastAsia="宋体" w:cs="宋体"/>
                <w:color w:val="auto"/>
                <w:kern w:val="0"/>
                <w:sz w:val="21"/>
                <w:szCs w:val="21"/>
                <w:highlight w:val="none"/>
                <w:lang w:val="en-US" w:eastAsia="zh-CN" w:bidi="ar"/>
              </w:rPr>
              <w:t>资金</w:t>
            </w:r>
          </w:p>
        </w:tc>
        <w:tc>
          <w:tcPr>
            <w:tcW w:w="2490" w:type="dxa"/>
            <w:tcBorders>
              <w:top w:val="single" w:color="auto" w:sz="12" w:space="0"/>
              <w:left w:val="single" w:color="auto" w:sz="12" w:space="0"/>
              <w:bottom w:val="single" w:color="auto" w:sz="12" w:space="0"/>
              <w:right w:val="single" w:color="auto" w:sz="12" w:space="0"/>
            </w:tcBorders>
            <w:shd w:val="clear" w:color="auto" w:fill="auto"/>
            <w:vAlign w:val="center"/>
          </w:tcPr>
          <w:p w14:paraId="2F9E99B9">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spacing w:val="-4"/>
                <w:kern w:val="0"/>
                <w:sz w:val="21"/>
                <w:szCs w:val="21"/>
                <w:highlight w:val="none"/>
              </w:rPr>
            </w:pPr>
            <w:r>
              <w:rPr>
                <w:rFonts w:hint="eastAsia" w:ascii="宋体" w:hAnsi="宋体" w:eastAsia="宋体" w:cs="宋体"/>
                <w:color w:val="auto"/>
                <w:kern w:val="2"/>
                <w:sz w:val="21"/>
                <w:szCs w:val="21"/>
                <w:highlight w:val="none"/>
                <w:lang w:val="en-US" w:eastAsia="zh-CN" w:bidi="ar"/>
              </w:rPr>
              <w:t>招标文件等获取方式</w:t>
            </w:r>
          </w:p>
        </w:tc>
        <w:tc>
          <w:tcPr>
            <w:tcW w:w="2916" w:type="dxa"/>
            <w:tcBorders>
              <w:top w:val="single" w:color="auto" w:sz="12" w:space="0"/>
              <w:left w:val="single" w:color="auto" w:sz="12" w:space="0"/>
              <w:bottom w:val="single" w:color="auto" w:sz="12" w:space="0"/>
              <w:right w:val="single" w:color="auto" w:sz="12" w:space="0"/>
            </w:tcBorders>
            <w:shd w:val="clear" w:color="auto" w:fill="auto"/>
            <w:vAlign w:val="center"/>
          </w:tcPr>
          <w:p w14:paraId="08A44F45">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spacing w:val="-4"/>
                <w:kern w:val="0"/>
                <w:sz w:val="21"/>
                <w:szCs w:val="21"/>
                <w:highlight w:val="none"/>
              </w:rPr>
            </w:pPr>
            <w:r>
              <w:rPr>
                <w:rFonts w:hint="eastAsia" w:ascii="宋体" w:hAnsi="宋体" w:eastAsia="宋体" w:cs="宋体"/>
                <w:color w:val="auto"/>
                <w:kern w:val="2"/>
                <w:sz w:val="21"/>
                <w:szCs w:val="21"/>
                <w:highlight w:val="none"/>
                <w:lang w:val="en-US" w:eastAsia="zh-CN" w:bidi="ar"/>
              </w:rPr>
              <w:t>网上下载</w:t>
            </w:r>
          </w:p>
        </w:tc>
      </w:tr>
      <w:tr w14:paraId="5CF6DF4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9583" w:type="dxa"/>
            <w:gridSpan w:val="5"/>
            <w:tcBorders>
              <w:top w:val="single" w:color="auto" w:sz="12" w:space="0"/>
              <w:left w:val="single" w:color="auto" w:sz="12" w:space="0"/>
              <w:bottom w:val="single" w:color="auto" w:sz="12" w:space="0"/>
              <w:right w:val="single" w:color="auto" w:sz="12" w:space="0"/>
            </w:tcBorders>
            <w:shd w:val="clear" w:color="auto" w:fill="auto"/>
            <w:vAlign w:val="center"/>
          </w:tcPr>
          <w:p w14:paraId="3458D41A">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是否要求提交投标保证金：要求，投标保证金的金额：</w:t>
            </w:r>
            <w:r>
              <w:rPr>
                <w:rFonts w:hint="eastAsia" w:ascii="宋体" w:hAnsi="宋体" w:cs="宋体"/>
                <w:color w:val="auto"/>
                <w:kern w:val="2"/>
                <w:sz w:val="21"/>
                <w:szCs w:val="21"/>
                <w:highlight w:val="none"/>
                <w:lang w:val="en-US" w:eastAsia="zh-CN" w:bidi="ar"/>
              </w:rPr>
              <w:t>0.8万元。</w:t>
            </w:r>
          </w:p>
          <w:p w14:paraId="36BDC4A2">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保证金的形式：银行转账。</w:t>
            </w:r>
          </w:p>
          <w:p w14:paraId="2D2DABB6">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银行转账缴纳的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6AA36537">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单位名称：安徽省琅琊山旅游发展有限公司</w:t>
            </w:r>
          </w:p>
          <w:p w14:paraId="05193722">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 xml:space="preserve">开 户 行：中国农业银行滁州琅琊区支行 </w:t>
            </w:r>
          </w:p>
          <w:p w14:paraId="7C213324">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 xml:space="preserve">账    号：12330001040017302 </w:t>
            </w:r>
          </w:p>
          <w:p w14:paraId="0D60CB37">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 xml:space="preserve">保证金到账截止时间同投标文件递交截止时间，交纳保证金时须在交易附言中注明：“龙尾山小区顶楼屋面维修工程”项目投标保证金。 </w:t>
            </w:r>
          </w:p>
          <w:p w14:paraId="595D368F">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cs="宋体"/>
                <w:color w:val="auto"/>
                <w:kern w:val="2"/>
                <w:sz w:val="21"/>
                <w:szCs w:val="21"/>
                <w:highlight w:val="none"/>
                <w:lang w:val="en-US" w:eastAsia="zh-CN" w:bidi="ar"/>
              </w:rPr>
            </w:pPr>
            <w:r>
              <w:rPr>
                <w:rFonts w:hint="eastAsia" w:ascii="宋体" w:hAnsi="宋体" w:cs="宋体"/>
                <w:color w:val="auto"/>
                <w:kern w:val="2"/>
                <w:sz w:val="21"/>
                <w:szCs w:val="21"/>
                <w:highlight w:val="none"/>
                <w:lang w:val="en-US" w:eastAsia="zh-CN" w:bidi="ar"/>
              </w:rPr>
              <w:t>注：各投标人请严格按照招标公告和招标文件载明的银行、账户汇入投标保证金，否则在开标时将无法查询保证金是否到账，导致评标委员会否决其投标！</w:t>
            </w:r>
          </w:p>
          <w:p w14:paraId="2E225A35">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投标保证金退还期限：中标通知书发放后五个工作日内退还未中标单位的投标保证金，签订合同后五个工作日内退还中标单位的投标保证金</w:t>
            </w:r>
            <w:r>
              <w:rPr>
                <w:rFonts w:hint="eastAsia" w:ascii="宋体" w:hAnsi="宋体" w:eastAsia="宋体" w:cs="宋体"/>
                <w:color w:val="auto"/>
                <w:kern w:val="2"/>
                <w:sz w:val="21"/>
                <w:szCs w:val="21"/>
                <w:highlight w:val="none"/>
                <w:lang w:val="en-US" w:eastAsia="zh-CN" w:bidi="ar"/>
              </w:rPr>
              <w:t>。</w:t>
            </w:r>
          </w:p>
        </w:tc>
      </w:tr>
      <w:tr w14:paraId="06E7DF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67" w:hRule="atLeast"/>
          <w:jc w:val="center"/>
        </w:trPr>
        <w:tc>
          <w:tcPr>
            <w:tcW w:w="9583" w:type="dxa"/>
            <w:gridSpan w:val="5"/>
            <w:tcBorders>
              <w:top w:val="single" w:color="auto" w:sz="12" w:space="0"/>
              <w:left w:val="single" w:color="auto" w:sz="12" w:space="0"/>
              <w:bottom w:val="single" w:color="auto" w:sz="12" w:space="0"/>
              <w:right w:val="single" w:color="auto" w:sz="12" w:space="0"/>
            </w:tcBorders>
            <w:shd w:val="clear" w:color="auto" w:fill="auto"/>
            <w:vAlign w:val="center"/>
          </w:tcPr>
          <w:p w14:paraId="53CEC0D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重要说明：</w:t>
            </w:r>
          </w:p>
          <w:p w14:paraId="49456228">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5833B834">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请于公告发布之日起从滁州市城投工程咨询管理有限公司（https://www.czctgczx.com/）网站下载本项目招标文件，或从滁州市城投工程咨询管理有限公司（https://www.czctgczx.com/）网站，点击项目招标公告下方【我要投标】，登录新点电子交易平台后在【滁州专区】（https://www.etrading.cn/BREpointSSO/login/oauth2login?regioncode=DQ_ChuZhou）下载本项目招标文件。</w:t>
            </w:r>
          </w:p>
          <w:p w14:paraId="4E56C85A">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投标人参与投标的，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标正通使用相关问题请拨打服务电话：0512-58188013。</w:t>
            </w:r>
          </w:p>
          <w:p w14:paraId="407D404B">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投标人登录新点电子交易平台【滁州专区】获取招标文件及其它资料（含澄清和补充说明等）。如在招标文件获取过程中遇到系统问题，请拨打技术支持服务热线0512-58151515或者网站首页在线客服。投标人自行承担因未按要求获取招标文件导致无法上传电子投标文件的风险。</w:t>
            </w:r>
          </w:p>
          <w:p w14:paraId="1A46FB7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5.本项目采用不见面开标，投标人登录滁州市城投工程咨询管理有限公司不见面开标系统参与网上开标（网址：http://js.etrading.cn/EpointBidOpening/bidopeninghallaction/hall/login）。</w:t>
            </w:r>
          </w:p>
          <w:p w14:paraId="3CB81369">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6.投标人应在投标截止时间之前，登录新点电子交易平台【滁州专区】上传投标文件。投标人逾期上传投标文件的，电子系统不予受理。</w:t>
            </w:r>
          </w:p>
          <w:p w14:paraId="4AE4FEF8">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34DDCE86">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8.投标人的联系人电话(手机)、电子邮箱等通讯方式在开标过程中必须保持畅通，否则因上述原因造成的后果，责任自负。</w:t>
            </w:r>
          </w:p>
        </w:tc>
      </w:tr>
      <w:tr w14:paraId="6FDEEEC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515" w:hRule="atLeast"/>
          <w:jc w:val="center"/>
        </w:trPr>
        <w:tc>
          <w:tcPr>
            <w:tcW w:w="9583" w:type="dxa"/>
            <w:gridSpan w:val="5"/>
            <w:tcBorders>
              <w:top w:val="single" w:color="auto" w:sz="12" w:space="0"/>
              <w:left w:val="single" w:color="auto" w:sz="12" w:space="0"/>
              <w:bottom w:val="single" w:color="auto" w:sz="12" w:space="0"/>
              <w:right w:val="single" w:color="auto" w:sz="12" w:space="0"/>
            </w:tcBorders>
            <w:shd w:val="clear" w:color="auto" w:fill="auto"/>
            <w:vAlign w:val="center"/>
          </w:tcPr>
          <w:p w14:paraId="73416913">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招标文件获取时间：</w:t>
            </w:r>
            <w:r>
              <w:rPr>
                <w:rFonts w:hint="eastAsia" w:ascii="宋体" w:hAnsi="宋体" w:eastAsia="宋体" w:cs="宋体"/>
                <w:b/>
                <w:bCs/>
                <w:color w:val="auto"/>
                <w:kern w:val="0"/>
                <w:sz w:val="21"/>
                <w:szCs w:val="21"/>
                <w:highlight w:val="none"/>
                <w:lang w:val="en-US" w:eastAsia="zh-CN" w:bidi="ar"/>
              </w:rPr>
              <w:t>202</w:t>
            </w:r>
            <w:r>
              <w:rPr>
                <w:rFonts w:hint="eastAsia" w:ascii="宋体" w:hAnsi="宋体" w:cs="宋体"/>
                <w:b/>
                <w:bCs/>
                <w:color w:val="auto"/>
                <w:kern w:val="0"/>
                <w:sz w:val="21"/>
                <w:szCs w:val="21"/>
                <w:highlight w:val="none"/>
                <w:lang w:val="en-US" w:eastAsia="zh-CN" w:bidi="ar"/>
              </w:rPr>
              <w:t>6</w:t>
            </w:r>
            <w:r>
              <w:rPr>
                <w:rFonts w:hint="eastAsia" w:ascii="宋体" w:hAnsi="宋体" w:eastAsia="宋体" w:cs="宋体"/>
                <w:b/>
                <w:bCs/>
                <w:color w:val="auto"/>
                <w:kern w:val="0"/>
                <w:sz w:val="21"/>
                <w:szCs w:val="21"/>
                <w:highlight w:val="none"/>
                <w:lang w:val="en-US" w:eastAsia="zh-CN" w:bidi="ar"/>
              </w:rPr>
              <w:t>年</w:t>
            </w:r>
            <w:r>
              <w:rPr>
                <w:rFonts w:hint="eastAsia" w:ascii="宋体" w:hAnsi="宋体" w:cs="宋体"/>
                <w:b/>
                <w:bCs/>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月</w:t>
            </w:r>
            <w:r>
              <w:rPr>
                <w:rFonts w:hint="eastAsia" w:ascii="宋体" w:hAnsi="宋体" w:cs="宋体"/>
                <w:b/>
                <w:bCs/>
                <w:color w:val="auto"/>
                <w:kern w:val="0"/>
                <w:sz w:val="21"/>
                <w:szCs w:val="21"/>
                <w:highlight w:val="none"/>
                <w:lang w:val="en-US" w:eastAsia="zh-CN" w:bidi="ar"/>
              </w:rPr>
              <w:t>13</w:t>
            </w:r>
            <w:r>
              <w:rPr>
                <w:rFonts w:hint="eastAsia" w:ascii="宋体" w:hAnsi="宋体" w:eastAsia="宋体" w:cs="宋体"/>
                <w:b/>
                <w:bCs/>
                <w:color w:val="auto"/>
                <w:kern w:val="0"/>
                <w:sz w:val="21"/>
                <w:szCs w:val="21"/>
                <w:highlight w:val="none"/>
                <w:lang w:val="en-US" w:eastAsia="zh-CN" w:bidi="ar"/>
              </w:rPr>
              <w:t>日17时后</w:t>
            </w:r>
            <w:r>
              <w:rPr>
                <w:rFonts w:hint="eastAsia" w:ascii="宋体" w:hAnsi="宋体" w:eastAsia="宋体" w:cs="宋体"/>
                <w:color w:val="auto"/>
                <w:kern w:val="0"/>
                <w:sz w:val="21"/>
                <w:szCs w:val="21"/>
                <w:highlight w:val="none"/>
                <w:lang w:val="en-US" w:eastAsia="zh-CN" w:bidi="ar"/>
              </w:rPr>
              <w:t>，如投标人不及时下载招标文件，造成后果由投标人自负。</w:t>
            </w:r>
          </w:p>
        </w:tc>
      </w:tr>
      <w:tr w14:paraId="36DD9D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auto"/>
          <w:tblCellMar>
            <w:top w:w="0" w:type="dxa"/>
            <w:left w:w="108" w:type="dxa"/>
            <w:bottom w:w="0" w:type="dxa"/>
            <w:right w:w="108" w:type="dxa"/>
          </w:tblCellMar>
        </w:tblPrEx>
        <w:trPr>
          <w:trHeight w:val="23" w:hRule="atLeast"/>
          <w:jc w:val="center"/>
        </w:trPr>
        <w:tc>
          <w:tcPr>
            <w:tcW w:w="4177" w:type="dxa"/>
            <w:gridSpan w:val="3"/>
            <w:tcBorders>
              <w:top w:val="single" w:color="auto" w:sz="12" w:space="0"/>
              <w:left w:val="single" w:color="auto" w:sz="12" w:space="0"/>
              <w:bottom w:val="single" w:color="auto" w:sz="12" w:space="0"/>
              <w:right w:val="single" w:color="auto" w:sz="12" w:space="0"/>
            </w:tcBorders>
            <w:shd w:val="clear" w:color="auto" w:fill="auto"/>
            <w:vAlign w:val="center"/>
          </w:tcPr>
          <w:p w14:paraId="370BCB58">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招标人名称：</w:t>
            </w:r>
            <w:r>
              <w:rPr>
                <w:rFonts w:hint="eastAsia" w:ascii="宋体" w:hAnsi="宋体" w:cs="宋体"/>
                <w:color w:val="auto"/>
                <w:kern w:val="0"/>
                <w:sz w:val="21"/>
                <w:szCs w:val="21"/>
                <w:highlight w:val="none"/>
                <w:lang w:val="en-US" w:eastAsia="zh-CN" w:bidi="ar"/>
              </w:rPr>
              <w:t>安徽省琅琊山旅游发展有限公司</w:t>
            </w:r>
          </w:p>
          <w:p w14:paraId="027B759F">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地址：</w:t>
            </w:r>
            <w:r>
              <w:rPr>
                <w:rFonts w:hint="eastAsia" w:ascii="宋体" w:hAnsi="宋体" w:cs="宋体"/>
                <w:color w:val="auto"/>
                <w:kern w:val="0"/>
                <w:sz w:val="21"/>
                <w:szCs w:val="21"/>
                <w:highlight w:val="none"/>
                <w:lang w:val="en-US" w:eastAsia="zh-CN" w:bidi="ar"/>
              </w:rPr>
              <w:t>安徽省滁州市西涧中路4306号</w:t>
            </w:r>
          </w:p>
          <w:p w14:paraId="4ECDDB6A">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联 系 人：</w:t>
            </w:r>
            <w:r>
              <w:rPr>
                <w:rFonts w:hint="eastAsia" w:ascii="宋体" w:hAnsi="宋体" w:cs="宋体"/>
                <w:color w:val="auto"/>
                <w:kern w:val="0"/>
                <w:sz w:val="21"/>
                <w:szCs w:val="21"/>
                <w:highlight w:val="none"/>
                <w:lang w:val="en-US" w:eastAsia="zh-CN" w:bidi="ar"/>
              </w:rPr>
              <w:t>高维祥</w:t>
            </w:r>
          </w:p>
          <w:p w14:paraId="6353410C">
            <w:pPr>
              <w:keepNext w:val="0"/>
              <w:keepLines w:val="0"/>
              <w:widowControl/>
              <w:suppressLineNumbers w:val="0"/>
              <w:autoSpaceDE w:val="0"/>
              <w:autoSpaceDN/>
              <w:spacing w:before="0" w:beforeAutospacing="0" w:after="0" w:afterAutospacing="0" w:line="440" w:lineRule="exact"/>
              <w:ind w:left="0" w:right="0"/>
              <w:jc w:val="left"/>
              <w:rPr>
                <w:rFonts w:hint="default" w:ascii="宋体" w:hAnsi="宋体" w:eastAsia="宋体" w:cs="宋体"/>
                <w:color w:val="auto"/>
                <w:kern w:val="2"/>
                <w:sz w:val="21"/>
                <w:szCs w:val="21"/>
                <w:highlight w:val="none"/>
                <w:lang w:val="en-US"/>
              </w:rPr>
            </w:pPr>
            <w:r>
              <w:rPr>
                <w:rFonts w:hint="eastAsia" w:ascii="宋体" w:hAnsi="宋体" w:eastAsia="宋体" w:cs="宋体"/>
                <w:color w:val="auto"/>
                <w:kern w:val="0"/>
                <w:sz w:val="21"/>
                <w:szCs w:val="21"/>
                <w:highlight w:val="none"/>
                <w:lang w:val="en-US" w:eastAsia="zh-CN" w:bidi="ar"/>
              </w:rPr>
              <w:t>联系方式：</w:t>
            </w:r>
            <w:r>
              <w:rPr>
                <w:rFonts w:hint="eastAsia" w:ascii="宋体" w:hAnsi="宋体" w:cs="宋体"/>
                <w:color w:val="auto"/>
                <w:kern w:val="0"/>
                <w:sz w:val="21"/>
                <w:szCs w:val="21"/>
                <w:highlight w:val="none"/>
                <w:lang w:val="en-US" w:eastAsia="zh-CN" w:bidi="ar"/>
              </w:rPr>
              <w:t>19955022620</w:t>
            </w:r>
          </w:p>
        </w:tc>
        <w:tc>
          <w:tcPr>
            <w:tcW w:w="5406"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14:paraId="5B589817">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招标代理机构名称：滁州市城投工程咨询管理有限公司</w:t>
            </w:r>
          </w:p>
          <w:p w14:paraId="568EAEF4">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地址：滁州市龙蟠大道109号房产商务大厦6楼</w:t>
            </w:r>
          </w:p>
          <w:p w14:paraId="004DF22C">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联系人：胡国庆</w:t>
            </w:r>
          </w:p>
          <w:p w14:paraId="187E111E">
            <w:pPr>
              <w:keepNext w:val="0"/>
              <w:keepLines w:val="0"/>
              <w:widowControl/>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联系方式：0550-3519517、18005500950</w:t>
            </w:r>
          </w:p>
        </w:tc>
      </w:tr>
      <w:tr w14:paraId="5A1C3AD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9583" w:type="dxa"/>
            <w:gridSpan w:val="5"/>
            <w:tcBorders>
              <w:top w:val="single" w:color="auto" w:sz="12" w:space="0"/>
              <w:left w:val="single" w:color="auto" w:sz="12" w:space="0"/>
              <w:bottom w:val="single" w:color="auto" w:sz="12" w:space="0"/>
              <w:right w:val="single" w:color="auto" w:sz="12" w:space="0"/>
            </w:tcBorders>
            <w:shd w:val="clear" w:color="auto" w:fill="auto"/>
            <w:vAlign w:val="center"/>
          </w:tcPr>
          <w:p w14:paraId="3FEC7B01">
            <w:pPr>
              <w:keepNext w:val="0"/>
              <w:keepLines w:val="0"/>
              <w:widowControl w:val="0"/>
              <w:suppressLineNumbers w:val="0"/>
              <w:autoSpaceDE w:val="0"/>
              <w:autoSpaceDN/>
              <w:spacing w:before="0" w:beforeAutospacing="0" w:after="0" w:afterAutospacing="0" w:line="44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公告发布媒体</w:t>
            </w: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kern w:val="2"/>
                <w:sz w:val="21"/>
                <w:szCs w:val="21"/>
                <w:highlight w:val="none"/>
                <w:lang w:val="en-US" w:eastAsia="zh-CN" w:bidi="ar"/>
              </w:rPr>
              <w:t>中国招标公共服务平台（http://www.cebpubservice.com/）、安徽省招标投标信息网（www.ahtba.org.cn）、安徽省琅琊山旅游发展有限公司（https://www.lysfjq.cn/）、滁州市城投工程咨询管理有限公司（https://www.czctgczx.com/）网站</w:t>
            </w:r>
          </w:p>
        </w:tc>
      </w:tr>
    </w:tbl>
    <w:p w14:paraId="2BFDA484">
      <w:pPr>
        <w:pStyle w:val="43"/>
        <w:spacing w:beforeLines="50" w:afterLines="50" w:line="440" w:lineRule="exact"/>
        <w:rPr>
          <w:bCs/>
          <w:color w:val="auto"/>
          <w:szCs w:val="32"/>
          <w:highlight w:val="none"/>
        </w:rPr>
      </w:pPr>
      <w:r>
        <w:rPr>
          <w:rFonts w:hint="eastAsia"/>
          <w:bCs/>
          <w:color w:val="auto"/>
          <w:szCs w:val="32"/>
          <w:highlight w:val="none"/>
        </w:rPr>
        <w:br w:type="page"/>
      </w:r>
      <w:bookmarkStart w:id="37" w:name="_Toc18989"/>
      <w:bookmarkStart w:id="38" w:name="_Toc8980"/>
      <w:bookmarkStart w:id="39" w:name="_Toc22947"/>
      <w:r>
        <w:rPr>
          <w:rFonts w:hint="eastAsia"/>
          <w:bCs/>
          <w:color w:val="auto"/>
          <w:szCs w:val="32"/>
          <w:highlight w:val="none"/>
        </w:rPr>
        <w:t>第一章  投标人须知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038B4F0B">
      <w:pPr>
        <w:spacing w:beforeLines="50" w:afterLines="50" w:line="440" w:lineRule="exact"/>
        <w:jc w:val="center"/>
        <w:rPr>
          <w:b/>
          <w:bCs/>
          <w:color w:val="auto"/>
          <w:sz w:val="28"/>
          <w:szCs w:val="28"/>
          <w:highlight w:val="none"/>
        </w:rPr>
      </w:pPr>
      <w:bookmarkStart w:id="40" w:name="_Toc152042304"/>
      <w:bookmarkStart w:id="41" w:name="_Toc506107268"/>
      <w:bookmarkStart w:id="42" w:name="_Toc144974496"/>
      <w:bookmarkStart w:id="43" w:name="_Toc152045528"/>
      <w:bookmarkStart w:id="44" w:name="_Toc179632545"/>
      <w:bookmarkStart w:id="45" w:name="_Toc324404814"/>
      <w:bookmarkStart w:id="46" w:name="_Toc35425051"/>
      <w:bookmarkStart w:id="47" w:name="_Toc247085688"/>
      <w:bookmarkStart w:id="48" w:name="_Toc35424884"/>
      <w:bookmarkStart w:id="49" w:name="_Toc15058845"/>
      <w:bookmarkStart w:id="50" w:name="_Toc246996917"/>
      <w:bookmarkStart w:id="51" w:name="_Toc246996174"/>
      <w:r>
        <w:rPr>
          <w:rFonts w:hint="eastAsia"/>
          <w:b/>
          <w:bCs/>
          <w:color w:val="auto"/>
          <w:sz w:val="28"/>
          <w:szCs w:val="28"/>
          <w:highlight w:val="none"/>
        </w:rPr>
        <w:t>投标人须知前附表</w:t>
      </w:r>
      <w:bookmarkEnd w:id="40"/>
      <w:bookmarkEnd w:id="41"/>
      <w:bookmarkEnd w:id="42"/>
      <w:bookmarkEnd w:id="43"/>
      <w:bookmarkEnd w:id="44"/>
      <w:bookmarkEnd w:id="45"/>
      <w:bookmarkEnd w:id="46"/>
      <w:bookmarkEnd w:id="47"/>
      <w:bookmarkEnd w:id="48"/>
      <w:bookmarkEnd w:id="49"/>
      <w:bookmarkEnd w:id="50"/>
      <w:bookmarkEnd w:id="51"/>
    </w:p>
    <w:tbl>
      <w:tblPr>
        <w:tblStyle w:val="46"/>
        <w:tblW w:w="9914" w:type="dxa"/>
        <w:jc w:val="center"/>
        <w:tblLayout w:type="fixed"/>
        <w:tblCellMar>
          <w:top w:w="0" w:type="dxa"/>
          <w:left w:w="108" w:type="dxa"/>
          <w:bottom w:w="0" w:type="dxa"/>
          <w:right w:w="108" w:type="dxa"/>
        </w:tblCellMar>
      </w:tblPr>
      <w:tblGrid>
        <w:gridCol w:w="868"/>
        <w:gridCol w:w="910"/>
        <w:gridCol w:w="1299"/>
        <w:gridCol w:w="6837"/>
      </w:tblGrid>
      <w:tr w14:paraId="0BDD4F3A">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300211F">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b/>
                <w:color w:val="auto"/>
                <w:szCs w:val="21"/>
                <w:highlight w:val="none"/>
              </w:rPr>
            </w:pPr>
            <w:bookmarkStart w:id="52" w:name="_Toc246996918"/>
            <w:bookmarkStart w:id="53" w:name="_Toc152045529"/>
            <w:bookmarkStart w:id="54" w:name="_Toc247085689"/>
            <w:bookmarkStart w:id="55" w:name="_Toc144974497"/>
            <w:bookmarkStart w:id="56" w:name="_Toc152042305"/>
            <w:bookmarkStart w:id="57" w:name="_Toc179632546"/>
            <w:bookmarkStart w:id="58" w:name="_Toc246996175"/>
            <w:bookmarkStart w:id="59" w:name="_Toc506107269"/>
            <w:bookmarkStart w:id="60" w:name="_Toc324404815"/>
            <w:r>
              <w:rPr>
                <w:rFonts w:hint="eastAsia" w:ascii="宋体" w:hAnsi="宋体" w:cs="宋体"/>
                <w:b/>
                <w:color w:val="auto"/>
                <w:szCs w:val="21"/>
                <w:highlight w:val="none"/>
              </w:rPr>
              <w:t>序号</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342837A">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b/>
                <w:color w:val="auto"/>
                <w:szCs w:val="21"/>
                <w:highlight w:val="none"/>
              </w:rPr>
            </w:pPr>
            <w:r>
              <w:rPr>
                <w:rFonts w:hint="eastAsia" w:ascii="宋体" w:hAnsi="宋体" w:cs="宋体"/>
                <w:b/>
                <w:color w:val="auto"/>
                <w:szCs w:val="21"/>
                <w:highlight w:val="none"/>
              </w:rPr>
              <w:t>条  款  名  称</w:t>
            </w:r>
          </w:p>
        </w:tc>
        <w:tc>
          <w:tcPr>
            <w:tcW w:w="6837" w:type="dxa"/>
            <w:tcBorders>
              <w:top w:val="single" w:color="auto" w:sz="4" w:space="0"/>
              <w:left w:val="single" w:color="auto" w:sz="4" w:space="0"/>
              <w:bottom w:val="single" w:color="auto" w:sz="4" w:space="0"/>
              <w:right w:val="single" w:color="auto" w:sz="4" w:space="0"/>
            </w:tcBorders>
            <w:noWrap/>
            <w:vAlign w:val="center"/>
          </w:tcPr>
          <w:p w14:paraId="4B914A43">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b/>
                <w:color w:val="auto"/>
                <w:szCs w:val="21"/>
                <w:highlight w:val="none"/>
              </w:rPr>
            </w:pPr>
            <w:r>
              <w:rPr>
                <w:rFonts w:hint="eastAsia" w:ascii="宋体" w:hAnsi="宋体" w:cs="宋体"/>
                <w:b/>
                <w:color w:val="auto"/>
                <w:szCs w:val="21"/>
                <w:highlight w:val="none"/>
              </w:rPr>
              <w:t>编  列  内  容</w:t>
            </w:r>
          </w:p>
        </w:tc>
      </w:tr>
      <w:tr w14:paraId="77A4F995">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889CB14">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C926067">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招标人</w:t>
            </w:r>
          </w:p>
        </w:tc>
        <w:tc>
          <w:tcPr>
            <w:tcW w:w="6837" w:type="dxa"/>
            <w:tcBorders>
              <w:top w:val="single" w:color="auto" w:sz="4" w:space="0"/>
              <w:left w:val="single" w:color="auto" w:sz="4" w:space="0"/>
              <w:bottom w:val="single" w:color="auto" w:sz="4" w:space="0"/>
              <w:right w:val="single" w:color="auto" w:sz="4" w:space="0"/>
            </w:tcBorders>
            <w:noWrap/>
            <w:vAlign w:val="center"/>
          </w:tcPr>
          <w:p w14:paraId="47F4E802">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left"/>
              <w:textAlignment w:val="auto"/>
              <w:rPr>
                <w:rFonts w:hint="eastAsia" w:eastAsia="宋体"/>
                <w:color w:val="auto"/>
                <w:kern w:val="2"/>
                <w:sz w:val="21"/>
                <w:szCs w:val="21"/>
                <w:highlight w:val="none"/>
                <w:lang w:eastAsia="zh-CN"/>
              </w:rPr>
            </w:pPr>
            <w:r>
              <w:rPr>
                <w:rFonts w:hint="eastAsia" w:ascii="宋体" w:hAnsi="宋体" w:eastAsia="宋体" w:cs="宋体"/>
                <w:color w:val="auto"/>
                <w:kern w:val="0"/>
                <w:szCs w:val="21"/>
                <w:highlight w:val="none"/>
              </w:rPr>
              <w:t>详见招标公告</w:t>
            </w:r>
          </w:p>
        </w:tc>
      </w:tr>
      <w:tr w14:paraId="6934FE20">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E50D38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EB631D9">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招标代理机构</w:t>
            </w:r>
          </w:p>
        </w:tc>
        <w:tc>
          <w:tcPr>
            <w:tcW w:w="6837" w:type="dxa"/>
            <w:tcBorders>
              <w:top w:val="single" w:color="auto" w:sz="4" w:space="0"/>
              <w:left w:val="single" w:color="auto" w:sz="4" w:space="0"/>
              <w:bottom w:val="single" w:color="auto" w:sz="4" w:space="0"/>
              <w:right w:val="single" w:color="auto" w:sz="4" w:space="0"/>
            </w:tcBorders>
            <w:noWrap/>
            <w:vAlign w:val="center"/>
          </w:tcPr>
          <w:p w14:paraId="6A4F3868">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rPr>
              <w:t>详见招标公告</w:t>
            </w:r>
          </w:p>
        </w:tc>
      </w:tr>
      <w:tr w14:paraId="31BD3B61">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E30EF8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D14E14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项目名称</w:t>
            </w:r>
          </w:p>
        </w:tc>
        <w:tc>
          <w:tcPr>
            <w:tcW w:w="6837" w:type="dxa"/>
            <w:tcBorders>
              <w:top w:val="single" w:color="auto" w:sz="4" w:space="0"/>
              <w:left w:val="single" w:color="auto" w:sz="4" w:space="0"/>
              <w:bottom w:val="single" w:color="auto" w:sz="4" w:space="0"/>
              <w:right w:val="single" w:color="auto" w:sz="4" w:space="0"/>
            </w:tcBorders>
            <w:noWrap/>
            <w:vAlign w:val="center"/>
          </w:tcPr>
          <w:p w14:paraId="244173E7">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rPr>
              <w:t>详见招标公告</w:t>
            </w:r>
          </w:p>
        </w:tc>
      </w:tr>
      <w:tr w14:paraId="08FFE5D0">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E667C68">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C87BA5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建设地点</w:t>
            </w:r>
          </w:p>
        </w:tc>
        <w:tc>
          <w:tcPr>
            <w:tcW w:w="6837" w:type="dxa"/>
            <w:tcBorders>
              <w:top w:val="single" w:color="auto" w:sz="4" w:space="0"/>
              <w:left w:val="single" w:color="auto" w:sz="4" w:space="0"/>
              <w:bottom w:val="single" w:color="auto" w:sz="4" w:space="0"/>
              <w:right w:val="single" w:color="auto" w:sz="4" w:space="0"/>
            </w:tcBorders>
            <w:noWrap/>
            <w:vAlign w:val="center"/>
          </w:tcPr>
          <w:p w14:paraId="506B480C">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color w:val="auto"/>
                <w:kern w:val="0"/>
                <w:szCs w:val="21"/>
                <w:highlight w:val="none"/>
              </w:rPr>
              <w:t>详见招标公告</w:t>
            </w:r>
          </w:p>
        </w:tc>
      </w:tr>
      <w:tr w14:paraId="035A6C0C">
        <w:tblPrEx>
          <w:tblCellMar>
            <w:top w:w="0" w:type="dxa"/>
            <w:left w:w="108" w:type="dxa"/>
            <w:bottom w:w="0" w:type="dxa"/>
            <w:right w:w="108" w:type="dxa"/>
          </w:tblCellMar>
        </w:tblPrEx>
        <w:trPr>
          <w:trHeight w:val="555"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4CEDDCA">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16D1835">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 w:val="21"/>
                <w:szCs w:val="21"/>
                <w:highlight w:val="none"/>
              </w:rPr>
              <w:t>资金落实情况</w:t>
            </w:r>
          </w:p>
        </w:tc>
        <w:tc>
          <w:tcPr>
            <w:tcW w:w="6837" w:type="dxa"/>
            <w:tcBorders>
              <w:top w:val="single" w:color="auto" w:sz="4" w:space="0"/>
              <w:left w:val="single" w:color="auto" w:sz="4" w:space="0"/>
              <w:bottom w:val="single" w:color="auto" w:sz="4" w:space="0"/>
              <w:right w:val="single" w:color="auto" w:sz="4" w:space="0"/>
            </w:tcBorders>
            <w:noWrap/>
            <w:vAlign w:val="center"/>
          </w:tcPr>
          <w:p w14:paraId="3AD56AE8">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 w:val="21"/>
                <w:szCs w:val="21"/>
                <w:highlight w:val="none"/>
                <w:lang w:val="en-US" w:eastAsia="zh-CN"/>
              </w:rPr>
              <w:t>已落实</w:t>
            </w:r>
          </w:p>
        </w:tc>
      </w:tr>
      <w:tr w14:paraId="767AED2A">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2E04878">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77C389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招标范围</w:t>
            </w:r>
          </w:p>
        </w:tc>
        <w:tc>
          <w:tcPr>
            <w:tcW w:w="6837" w:type="dxa"/>
            <w:tcBorders>
              <w:top w:val="single" w:color="auto" w:sz="4" w:space="0"/>
              <w:left w:val="single" w:color="auto" w:sz="4" w:space="0"/>
              <w:bottom w:val="single" w:color="auto" w:sz="4" w:space="0"/>
              <w:right w:val="single" w:color="auto" w:sz="4" w:space="0"/>
            </w:tcBorders>
            <w:noWrap/>
            <w:vAlign w:val="center"/>
          </w:tcPr>
          <w:p w14:paraId="46D945E3">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color w:val="auto"/>
                <w:szCs w:val="21"/>
                <w:highlight w:val="none"/>
              </w:rPr>
              <w:t>详见招标公告</w:t>
            </w:r>
          </w:p>
        </w:tc>
      </w:tr>
      <w:tr w14:paraId="32245EDE">
        <w:tblPrEx>
          <w:tblCellMar>
            <w:top w:w="0" w:type="dxa"/>
            <w:left w:w="108" w:type="dxa"/>
            <w:bottom w:w="0" w:type="dxa"/>
            <w:right w:w="108" w:type="dxa"/>
          </w:tblCellMar>
        </w:tblPrEx>
        <w:trPr>
          <w:trHeight w:val="496"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67889DE">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7EFB0B0">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评标办法</w:t>
            </w:r>
          </w:p>
        </w:tc>
        <w:tc>
          <w:tcPr>
            <w:tcW w:w="6837" w:type="dxa"/>
            <w:tcBorders>
              <w:top w:val="single" w:color="auto" w:sz="4" w:space="0"/>
              <w:left w:val="single" w:color="auto" w:sz="4" w:space="0"/>
              <w:bottom w:val="single" w:color="auto" w:sz="4" w:space="0"/>
              <w:right w:val="single" w:color="auto" w:sz="4" w:space="0"/>
            </w:tcBorders>
            <w:noWrap/>
            <w:vAlign w:val="center"/>
          </w:tcPr>
          <w:p w14:paraId="26E51304">
            <w:pPr>
              <w:pStyle w:val="96"/>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综合评估法</w:t>
            </w:r>
          </w:p>
        </w:tc>
      </w:tr>
      <w:tr w14:paraId="08246C86">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5D6FC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6B991FB">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工期</w:t>
            </w:r>
          </w:p>
        </w:tc>
        <w:tc>
          <w:tcPr>
            <w:tcW w:w="6837" w:type="dxa"/>
            <w:tcBorders>
              <w:top w:val="single" w:color="auto" w:sz="4" w:space="0"/>
              <w:left w:val="single" w:color="auto" w:sz="4" w:space="0"/>
              <w:bottom w:val="single" w:color="auto" w:sz="4" w:space="0"/>
              <w:right w:val="single" w:color="auto" w:sz="4" w:space="0"/>
            </w:tcBorders>
            <w:noWrap/>
            <w:vAlign w:val="center"/>
          </w:tcPr>
          <w:p w14:paraId="22AC1F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rPr>
              <w:t>计划工期：</w:t>
            </w:r>
            <w:r>
              <w:rPr>
                <w:rFonts w:hint="eastAsia" w:ascii="宋体" w:hAnsi="宋体" w:cs="宋体"/>
                <w:b/>
                <w:color w:val="auto"/>
                <w:sz w:val="21"/>
                <w:szCs w:val="21"/>
                <w:highlight w:val="none"/>
                <w:lang w:val="en-US" w:eastAsia="zh-CN"/>
              </w:rPr>
              <w:t>不高于60个日历天（法定节假日顺延）。</w:t>
            </w:r>
          </w:p>
          <w:p w14:paraId="62D820D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计划开工日期：双方签订合同时明确</w:t>
            </w:r>
            <w:r>
              <w:rPr>
                <w:rFonts w:hint="eastAsia" w:ascii="宋体" w:hAnsi="宋体" w:cs="宋体"/>
                <w:color w:val="auto"/>
                <w:sz w:val="21"/>
                <w:szCs w:val="21"/>
                <w:highlight w:val="none"/>
                <w:lang w:val="en-US" w:eastAsia="zh-CN"/>
              </w:rPr>
              <w:t xml:space="preserve"> </w:t>
            </w:r>
          </w:p>
          <w:p w14:paraId="1D6C9E7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计划竣工日期：双方签订合同时明确</w:t>
            </w:r>
          </w:p>
          <w:p w14:paraId="5032111F">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 w:val="21"/>
                <w:szCs w:val="21"/>
                <w:highlight w:val="none"/>
              </w:rPr>
              <w:t>注：投标人自报的承诺工期为考核标准</w:t>
            </w:r>
            <w:r>
              <w:rPr>
                <w:rFonts w:hint="eastAsia" w:ascii="宋体" w:hAnsi="宋体" w:cs="宋体"/>
                <w:color w:val="auto"/>
                <w:sz w:val="21"/>
                <w:szCs w:val="21"/>
                <w:highlight w:val="none"/>
                <w:lang w:eastAsia="zh-CN"/>
              </w:rPr>
              <w:t>，因中标人原因造成的工期延误，</w:t>
            </w:r>
            <w:r>
              <w:rPr>
                <w:rFonts w:hint="eastAsia" w:ascii="宋体" w:hAnsi="宋体" w:cs="宋体"/>
                <w:color w:val="auto"/>
                <w:sz w:val="21"/>
                <w:szCs w:val="21"/>
                <w:highlight w:val="none"/>
              </w:rPr>
              <w:t>每推迟一天，按</w:t>
            </w:r>
            <w:r>
              <w:rPr>
                <w:rFonts w:hint="eastAsia" w:ascii="宋体" w:hAnsi="宋体" w:cs="宋体"/>
                <w:color w:val="auto"/>
                <w:sz w:val="21"/>
                <w:szCs w:val="21"/>
                <w:highlight w:val="none"/>
                <w:lang w:val="en-US" w:eastAsia="zh-CN"/>
              </w:rPr>
              <w:t>1000元/天</w:t>
            </w:r>
            <w:r>
              <w:rPr>
                <w:rFonts w:hint="eastAsia" w:ascii="宋体" w:hAnsi="宋体" w:cs="宋体"/>
                <w:color w:val="auto"/>
                <w:sz w:val="21"/>
                <w:szCs w:val="21"/>
                <w:highlight w:val="none"/>
              </w:rPr>
              <w:t xml:space="preserve">处以违约金。   </w:t>
            </w:r>
          </w:p>
        </w:tc>
      </w:tr>
      <w:tr w14:paraId="52D1B80E">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52265A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8D86914">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质量要求</w:t>
            </w:r>
          </w:p>
        </w:tc>
        <w:tc>
          <w:tcPr>
            <w:tcW w:w="6837" w:type="dxa"/>
            <w:tcBorders>
              <w:top w:val="single" w:color="auto" w:sz="4" w:space="0"/>
              <w:left w:val="single" w:color="auto" w:sz="4" w:space="0"/>
              <w:bottom w:val="single" w:color="auto" w:sz="4" w:space="0"/>
              <w:right w:val="single" w:color="auto" w:sz="4" w:space="0"/>
            </w:tcBorders>
            <w:noWrap/>
            <w:vAlign w:val="center"/>
          </w:tcPr>
          <w:p w14:paraId="30D229F9">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kern w:val="0"/>
                <w:szCs w:val="21"/>
                <w:highlight w:val="none"/>
              </w:rPr>
              <w:t>必须达到国家工程施工质量验收</w:t>
            </w:r>
            <w:r>
              <w:rPr>
                <w:rFonts w:hint="eastAsia" w:ascii="宋体" w:hAnsi="宋体" w:cs="宋体"/>
                <w:color w:val="auto"/>
                <w:kern w:val="0"/>
                <w:szCs w:val="21"/>
                <w:highlight w:val="none"/>
                <w:u w:val="single"/>
              </w:rPr>
              <w:t xml:space="preserve"> 合格 </w:t>
            </w:r>
            <w:r>
              <w:rPr>
                <w:rFonts w:hint="eastAsia" w:ascii="宋体" w:hAnsi="宋体" w:cs="宋体"/>
                <w:color w:val="auto"/>
                <w:kern w:val="0"/>
                <w:szCs w:val="21"/>
                <w:highlight w:val="none"/>
              </w:rPr>
              <w:t>标准</w:t>
            </w:r>
            <w:r>
              <w:rPr>
                <w:rFonts w:hint="eastAsia" w:ascii="宋体" w:hAnsi="宋体" w:cs="宋体"/>
                <w:color w:val="auto"/>
                <w:szCs w:val="21"/>
                <w:highlight w:val="none"/>
              </w:rPr>
              <w:t xml:space="preserve">。 </w:t>
            </w:r>
          </w:p>
        </w:tc>
      </w:tr>
      <w:tr w14:paraId="14722C22">
        <w:tblPrEx>
          <w:tblCellMar>
            <w:top w:w="0" w:type="dxa"/>
            <w:left w:w="108" w:type="dxa"/>
            <w:bottom w:w="0" w:type="dxa"/>
            <w:right w:w="108" w:type="dxa"/>
          </w:tblCellMar>
        </w:tblPrEx>
        <w:trPr>
          <w:trHeight w:val="90" w:hRule="atLeast"/>
          <w:jc w:val="center"/>
        </w:trPr>
        <w:tc>
          <w:tcPr>
            <w:tcW w:w="868" w:type="dxa"/>
            <w:vMerge w:val="restart"/>
            <w:tcBorders>
              <w:top w:val="single" w:color="auto" w:sz="4" w:space="0"/>
              <w:left w:val="single" w:color="auto" w:sz="4" w:space="0"/>
              <w:bottom w:val="single" w:color="auto" w:sz="4" w:space="0"/>
              <w:right w:val="single" w:color="auto" w:sz="4" w:space="0"/>
            </w:tcBorders>
            <w:noWrap/>
            <w:vAlign w:val="center"/>
          </w:tcPr>
          <w:p w14:paraId="56270CA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C8625C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投标人资质条件、能力和信誉</w:t>
            </w:r>
          </w:p>
        </w:tc>
        <w:tc>
          <w:tcPr>
            <w:tcW w:w="6837" w:type="dxa"/>
            <w:tcBorders>
              <w:top w:val="single" w:color="auto" w:sz="4" w:space="0"/>
              <w:left w:val="single" w:color="auto" w:sz="4" w:space="0"/>
              <w:bottom w:val="single" w:color="auto" w:sz="4" w:space="0"/>
              <w:right w:val="single" w:color="auto" w:sz="4" w:space="0"/>
            </w:tcBorders>
            <w:noWrap/>
            <w:vAlign w:val="center"/>
          </w:tcPr>
          <w:p w14:paraId="3661F8E0">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详见招标公告</w:t>
            </w:r>
          </w:p>
        </w:tc>
      </w:tr>
      <w:tr w14:paraId="26BB7244">
        <w:tblPrEx>
          <w:tblCellMar>
            <w:top w:w="0" w:type="dxa"/>
            <w:left w:w="108" w:type="dxa"/>
            <w:bottom w:w="0" w:type="dxa"/>
            <w:right w:w="108" w:type="dxa"/>
          </w:tblCellMar>
        </w:tblPrEx>
        <w:trPr>
          <w:trHeight w:val="575" w:hRule="atLeast"/>
          <w:jc w:val="center"/>
        </w:trPr>
        <w:tc>
          <w:tcPr>
            <w:tcW w:w="868" w:type="dxa"/>
            <w:vMerge w:val="continue"/>
            <w:tcBorders>
              <w:top w:val="single" w:color="auto" w:sz="4" w:space="0"/>
              <w:left w:val="single" w:color="auto" w:sz="4" w:space="0"/>
              <w:bottom w:val="single" w:color="auto" w:sz="4" w:space="0"/>
              <w:right w:val="single" w:color="auto" w:sz="4" w:space="0"/>
            </w:tcBorders>
            <w:noWrap/>
            <w:vAlign w:val="center"/>
          </w:tcPr>
          <w:p w14:paraId="2DE1695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B651442">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招标文件发布时间</w:t>
            </w:r>
          </w:p>
        </w:tc>
        <w:tc>
          <w:tcPr>
            <w:tcW w:w="6837" w:type="dxa"/>
            <w:tcBorders>
              <w:top w:val="single" w:color="auto" w:sz="4" w:space="0"/>
              <w:left w:val="single" w:color="auto" w:sz="4" w:space="0"/>
              <w:bottom w:val="single" w:color="auto" w:sz="4" w:space="0"/>
              <w:right w:val="single" w:color="auto" w:sz="4" w:space="0"/>
            </w:tcBorders>
            <w:noWrap/>
            <w:vAlign w:val="center"/>
          </w:tcPr>
          <w:p w14:paraId="6E383383">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详见招标公告</w:t>
            </w:r>
          </w:p>
        </w:tc>
      </w:tr>
      <w:tr w14:paraId="3FFCBBF7">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C58AE1F">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52A809D">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pacing w:val="-4"/>
                <w:kern w:val="0"/>
                <w:szCs w:val="21"/>
                <w:highlight w:val="none"/>
              </w:rPr>
            </w:pPr>
            <w:r>
              <w:rPr>
                <w:rFonts w:hint="eastAsia" w:ascii="宋体" w:hAnsi="宋体" w:cs="宋体"/>
                <w:color w:val="auto"/>
                <w:spacing w:val="-4"/>
                <w:kern w:val="0"/>
                <w:szCs w:val="21"/>
                <w:highlight w:val="none"/>
              </w:rPr>
              <w:t>踏勘现场</w:t>
            </w:r>
          </w:p>
        </w:tc>
        <w:tc>
          <w:tcPr>
            <w:tcW w:w="6837" w:type="dxa"/>
            <w:tcBorders>
              <w:top w:val="single" w:color="auto" w:sz="4" w:space="0"/>
              <w:left w:val="single" w:color="auto" w:sz="4" w:space="0"/>
              <w:bottom w:val="single" w:color="auto" w:sz="4" w:space="0"/>
              <w:right w:val="single" w:color="auto" w:sz="4" w:space="0"/>
            </w:tcBorders>
            <w:noWrap/>
            <w:vAlign w:val="center"/>
          </w:tcPr>
          <w:p w14:paraId="6AA5E599">
            <w:pPr>
              <w:pStyle w:val="19"/>
              <w:keepNext w:val="0"/>
              <w:keepLines w:val="0"/>
              <w:pageBreakBefore w:val="0"/>
              <w:suppressLineNumbers w:val="0"/>
              <w:kinsoku/>
              <w:wordWrap/>
              <w:overflowPunct/>
              <w:topLinePunct/>
              <w:autoSpaceDN/>
              <w:bidi w:val="0"/>
              <w:spacing w:before="0" w:beforeAutospacing="0" w:after="0" w:afterAutospacing="0" w:line="440" w:lineRule="exact"/>
              <w:ind w:left="0" w:right="0"/>
              <w:textAlignment w:val="auto"/>
              <w:rPr>
                <w:rFonts w:hint="default" w:hAnsi="宋体" w:cs="宋体"/>
                <w:color w:val="auto"/>
                <w:spacing w:val="-4"/>
                <w:kern w:val="0"/>
                <w:sz w:val="21"/>
                <w:szCs w:val="21"/>
                <w:highlight w:val="none"/>
              </w:rPr>
            </w:pPr>
            <w:r>
              <w:rPr>
                <w:rFonts w:hint="eastAsia" w:hAnsi="宋体" w:cs="宋体"/>
                <w:color w:val="auto"/>
                <w:sz w:val="21"/>
                <w:szCs w:val="21"/>
                <w:highlight w:val="none"/>
              </w:rPr>
              <w:t>☑</w:t>
            </w:r>
            <w:r>
              <w:rPr>
                <w:rFonts w:hint="eastAsia" w:hAnsi="宋体" w:cs="宋体"/>
                <w:color w:val="auto"/>
                <w:spacing w:val="-4"/>
                <w:kern w:val="0"/>
                <w:sz w:val="21"/>
                <w:szCs w:val="21"/>
                <w:highlight w:val="none"/>
              </w:rPr>
              <w:t>不组织，投标人自行组织踏勘现场</w:t>
            </w:r>
            <w:r>
              <w:rPr>
                <w:rFonts w:hint="eastAsia" w:hAnsi="宋体" w:cs="宋体"/>
                <w:color w:val="auto"/>
                <w:sz w:val="21"/>
                <w:szCs w:val="21"/>
                <w:highlight w:val="none"/>
              </w:rPr>
              <w:t>；□组织</w:t>
            </w:r>
          </w:p>
        </w:tc>
      </w:tr>
      <w:tr w14:paraId="5EE952CD">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FD1E6E3">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638E5E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pacing w:val="-4"/>
                <w:kern w:val="0"/>
                <w:szCs w:val="21"/>
                <w:highlight w:val="none"/>
              </w:rPr>
            </w:pPr>
            <w:r>
              <w:rPr>
                <w:rFonts w:hint="eastAsia" w:ascii="宋体" w:hAnsi="宋体" w:cs="宋体"/>
                <w:color w:val="auto"/>
                <w:spacing w:val="-4"/>
                <w:kern w:val="0"/>
                <w:szCs w:val="21"/>
                <w:highlight w:val="none"/>
              </w:rPr>
              <w:t>投标预备会</w:t>
            </w:r>
          </w:p>
        </w:tc>
        <w:tc>
          <w:tcPr>
            <w:tcW w:w="6837" w:type="dxa"/>
            <w:tcBorders>
              <w:top w:val="single" w:color="auto" w:sz="4" w:space="0"/>
              <w:left w:val="single" w:color="auto" w:sz="4" w:space="0"/>
              <w:bottom w:val="single" w:color="auto" w:sz="4" w:space="0"/>
              <w:right w:val="single" w:color="auto" w:sz="4" w:space="0"/>
            </w:tcBorders>
            <w:noWrap/>
            <w:vAlign w:val="center"/>
          </w:tcPr>
          <w:p w14:paraId="7F81BA54">
            <w:pPr>
              <w:pStyle w:val="19"/>
              <w:keepNext w:val="0"/>
              <w:keepLines w:val="0"/>
              <w:pageBreakBefore w:val="0"/>
              <w:suppressLineNumbers w:val="0"/>
              <w:kinsoku/>
              <w:wordWrap/>
              <w:overflowPunct/>
              <w:topLinePunct/>
              <w:autoSpaceDN/>
              <w:bidi w:val="0"/>
              <w:spacing w:before="0" w:beforeAutospacing="0" w:after="0" w:afterAutospacing="0" w:line="440" w:lineRule="exact"/>
              <w:ind w:left="0" w:right="0"/>
              <w:textAlignment w:val="auto"/>
              <w:rPr>
                <w:rFonts w:hint="default" w:hAnsi="宋体" w:cs="宋体"/>
                <w:color w:val="auto"/>
                <w:spacing w:val="-4"/>
                <w:kern w:val="0"/>
                <w:sz w:val="21"/>
                <w:szCs w:val="21"/>
                <w:highlight w:val="none"/>
              </w:rPr>
            </w:pPr>
            <w:r>
              <w:rPr>
                <w:rFonts w:hint="eastAsia" w:hAnsi="宋体" w:cs="宋体"/>
                <w:color w:val="auto"/>
                <w:sz w:val="21"/>
                <w:szCs w:val="21"/>
                <w:highlight w:val="none"/>
                <w:lang w:eastAsia="zh-CN"/>
              </w:rPr>
              <w:t>☑</w:t>
            </w:r>
            <w:r>
              <w:rPr>
                <w:rFonts w:hint="eastAsia" w:hAnsi="宋体" w:cs="宋体"/>
                <w:color w:val="auto"/>
                <w:spacing w:val="-4"/>
                <w:kern w:val="0"/>
                <w:sz w:val="21"/>
                <w:szCs w:val="21"/>
                <w:highlight w:val="none"/>
              </w:rPr>
              <w:t>不召开</w:t>
            </w:r>
            <w:r>
              <w:rPr>
                <w:rFonts w:hint="eastAsia" w:hAnsi="宋体" w:cs="宋体"/>
                <w:color w:val="auto"/>
                <w:sz w:val="21"/>
                <w:szCs w:val="21"/>
                <w:highlight w:val="none"/>
              </w:rPr>
              <w:t>；</w:t>
            </w:r>
            <w:r>
              <w:rPr>
                <w:rFonts w:hint="eastAsia" w:hAnsi="宋体" w:cs="宋体"/>
                <w:color w:val="auto"/>
                <w:sz w:val="21"/>
                <w:szCs w:val="21"/>
                <w:highlight w:val="none"/>
                <w:lang w:eastAsia="zh-CN"/>
              </w:rPr>
              <w:t>□</w:t>
            </w:r>
            <w:r>
              <w:rPr>
                <w:rFonts w:hint="eastAsia" w:hAnsi="宋体" w:cs="宋体"/>
                <w:color w:val="auto"/>
                <w:sz w:val="21"/>
                <w:szCs w:val="21"/>
                <w:highlight w:val="none"/>
              </w:rPr>
              <w:t>召开</w:t>
            </w:r>
          </w:p>
        </w:tc>
      </w:tr>
      <w:tr w14:paraId="0BEEB6A8">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DC3317B">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9BBE13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投标人提出问题的截止时间及方式</w:t>
            </w:r>
          </w:p>
        </w:tc>
        <w:tc>
          <w:tcPr>
            <w:tcW w:w="6837" w:type="dxa"/>
            <w:tcBorders>
              <w:top w:val="single" w:color="auto" w:sz="4" w:space="0"/>
              <w:left w:val="single" w:color="auto" w:sz="4" w:space="0"/>
              <w:bottom w:val="single" w:color="auto" w:sz="4" w:space="0"/>
              <w:right w:val="single" w:color="auto" w:sz="4" w:space="0"/>
            </w:tcBorders>
            <w:noWrap/>
            <w:vAlign w:val="center"/>
          </w:tcPr>
          <w:p w14:paraId="64F852B0">
            <w:pPr>
              <w:pStyle w:val="25"/>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hAnsi="宋体" w:eastAsia="宋体" w:cs="宋体"/>
                <w:color w:val="auto"/>
                <w:szCs w:val="21"/>
                <w:highlight w:val="none"/>
                <w:lang w:eastAsia="zh-CN"/>
              </w:rPr>
            </w:pPr>
            <w:r>
              <w:rPr>
                <w:rFonts w:hint="eastAsia" w:ascii="宋体" w:hAnsi="宋体" w:cs="宋体"/>
                <w:color w:val="auto"/>
                <w:kern w:val="0"/>
                <w:szCs w:val="21"/>
                <w:highlight w:val="none"/>
              </w:rPr>
              <w:t>如投标人对招标文件有疑问，请于</w:t>
            </w:r>
            <w:r>
              <w:rPr>
                <w:rFonts w:hint="eastAsia" w:ascii="宋体" w:hAnsi="宋体" w:cs="宋体"/>
                <w:b w:val="0"/>
                <w:bCs/>
                <w:color w:val="auto"/>
                <w:szCs w:val="21"/>
                <w:highlight w:val="none"/>
              </w:rPr>
              <w:t>202</w:t>
            </w:r>
            <w:r>
              <w:rPr>
                <w:rFonts w:hint="eastAsia" w:ascii="宋体" w:hAnsi="宋体" w:cs="宋体"/>
                <w:b w:val="0"/>
                <w:bCs/>
                <w:color w:val="auto"/>
                <w:szCs w:val="21"/>
                <w:highlight w:val="none"/>
                <w:lang w:val="en-US" w:eastAsia="zh-CN"/>
              </w:rPr>
              <w:t>6</w:t>
            </w:r>
            <w:r>
              <w:rPr>
                <w:rFonts w:hint="eastAsia" w:ascii="宋体" w:hAnsi="宋体" w:cs="宋体"/>
                <w:b w:val="0"/>
                <w:bCs/>
                <w:color w:val="auto"/>
                <w:szCs w:val="21"/>
                <w:highlight w:val="none"/>
              </w:rPr>
              <w:t>年</w:t>
            </w:r>
            <w:r>
              <w:rPr>
                <w:rFonts w:hint="eastAsia" w:ascii="宋体" w:hAnsi="宋体" w:cs="宋体"/>
                <w:b w:val="0"/>
                <w:bCs/>
                <w:color w:val="auto"/>
                <w:szCs w:val="21"/>
                <w:highlight w:val="none"/>
                <w:lang w:val="en-US" w:eastAsia="zh-CN"/>
              </w:rPr>
              <w:t>2</w:t>
            </w:r>
            <w:r>
              <w:rPr>
                <w:rFonts w:hint="eastAsia" w:ascii="宋体" w:hAnsi="宋体" w:cs="宋体"/>
                <w:b w:val="0"/>
                <w:bCs/>
                <w:color w:val="auto"/>
                <w:szCs w:val="21"/>
                <w:highlight w:val="none"/>
              </w:rPr>
              <w:t>月</w:t>
            </w:r>
            <w:r>
              <w:rPr>
                <w:rFonts w:hint="eastAsia" w:ascii="宋体" w:hAnsi="宋体" w:cs="宋体"/>
                <w:b w:val="0"/>
                <w:bCs/>
                <w:color w:val="auto"/>
                <w:szCs w:val="21"/>
                <w:highlight w:val="none"/>
                <w:lang w:val="en-US" w:eastAsia="zh-CN"/>
              </w:rPr>
              <w:t>23</w:t>
            </w:r>
            <w:r>
              <w:rPr>
                <w:rFonts w:hint="eastAsia" w:ascii="宋体" w:hAnsi="宋体" w:cs="宋体"/>
                <w:b w:val="0"/>
                <w:bCs/>
                <w:color w:val="auto"/>
                <w:szCs w:val="21"/>
                <w:highlight w:val="none"/>
              </w:rPr>
              <w:t>日1</w:t>
            </w:r>
            <w:r>
              <w:rPr>
                <w:rFonts w:hint="eastAsia" w:ascii="宋体" w:hAnsi="宋体" w:cs="宋体"/>
                <w:b w:val="0"/>
                <w:bCs/>
                <w:color w:val="auto"/>
                <w:szCs w:val="21"/>
                <w:highlight w:val="none"/>
                <w:lang w:val="en-US" w:eastAsia="zh-CN"/>
              </w:rPr>
              <w:t>7</w:t>
            </w:r>
            <w:r>
              <w:rPr>
                <w:rFonts w:hint="eastAsia" w:ascii="宋体" w:hAnsi="宋体" w:cs="宋体"/>
                <w:b w:val="0"/>
                <w:bCs/>
                <w:color w:val="auto"/>
                <w:szCs w:val="21"/>
                <w:highlight w:val="none"/>
              </w:rPr>
              <w:t>时</w:t>
            </w:r>
            <w:r>
              <w:rPr>
                <w:rFonts w:hint="eastAsia" w:ascii="宋体" w:hAnsi="宋体" w:cs="宋体"/>
                <w:color w:val="auto"/>
                <w:kern w:val="0"/>
                <w:szCs w:val="21"/>
                <w:highlight w:val="none"/>
              </w:rPr>
              <w:t>前</w:t>
            </w:r>
            <w:r>
              <w:rPr>
                <w:rFonts w:hint="eastAsia" w:ascii="宋体" w:hAnsi="宋体" w:cs="宋体"/>
                <w:color w:val="auto"/>
                <w:kern w:val="0"/>
                <w:szCs w:val="21"/>
                <w:highlight w:val="none"/>
                <w:lang w:val="en-US" w:eastAsia="zh-CN"/>
              </w:rPr>
              <w:t>通过新点电子交易平台【滁州专区】对招标文件提出澄清（质疑）。</w:t>
            </w:r>
          </w:p>
        </w:tc>
      </w:tr>
      <w:tr w14:paraId="2934A455">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730DD4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14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8A0A15A">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招标人澄清的时间及方式</w:t>
            </w:r>
          </w:p>
        </w:tc>
        <w:tc>
          <w:tcPr>
            <w:tcW w:w="6837" w:type="dxa"/>
            <w:tcBorders>
              <w:top w:val="single" w:color="auto" w:sz="4" w:space="0"/>
              <w:left w:val="single" w:color="auto" w:sz="4" w:space="0"/>
              <w:bottom w:val="single" w:color="auto" w:sz="4" w:space="0"/>
              <w:right w:val="single" w:color="auto" w:sz="4" w:space="0"/>
            </w:tcBorders>
            <w:noWrap/>
            <w:vAlign w:val="center"/>
          </w:tcPr>
          <w:p w14:paraId="35D92E49">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将在202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日17时后以澄清公告形式在滁州市城投工程咨询管理有限公司（https://www.czctgczx.com/）、</w:t>
            </w:r>
            <w:r>
              <w:rPr>
                <w:rFonts w:hint="eastAsia" w:ascii="宋体" w:hAnsi="宋体" w:cs="宋体"/>
                <w:color w:val="auto"/>
                <w:szCs w:val="21"/>
                <w:highlight w:val="none"/>
                <w:lang w:eastAsia="zh-CN"/>
              </w:rPr>
              <w:t>安徽省琅琊山旅游发展有限公司</w:t>
            </w:r>
            <w:r>
              <w:rPr>
                <w:rFonts w:hint="eastAsia" w:ascii="宋体" w:hAnsi="宋体" w:cs="宋体"/>
                <w:color w:val="auto"/>
                <w:szCs w:val="21"/>
                <w:highlight w:val="none"/>
              </w:rPr>
              <w:t>网站发布，请各位投标人注意查看有关澄清内容，如不及时查看造成后果由投标人自负。</w:t>
            </w:r>
          </w:p>
        </w:tc>
      </w:tr>
      <w:tr w14:paraId="3BD97139">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552998E">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6CB156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837" w:type="dxa"/>
            <w:tcBorders>
              <w:top w:val="single" w:color="auto" w:sz="4" w:space="0"/>
              <w:left w:val="single" w:color="auto" w:sz="4" w:space="0"/>
              <w:bottom w:val="single" w:color="auto" w:sz="4" w:space="0"/>
              <w:right w:val="single" w:color="auto" w:sz="4" w:space="0"/>
            </w:tcBorders>
            <w:noWrap/>
            <w:vAlign w:val="center"/>
          </w:tcPr>
          <w:p w14:paraId="62C55BF9">
            <w:pPr>
              <w:pStyle w:val="19"/>
              <w:keepNext w:val="0"/>
              <w:keepLines w:val="0"/>
              <w:pageBreakBefore w:val="0"/>
              <w:suppressLineNumbers w:val="0"/>
              <w:kinsoku/>
              <w:wordWrap/>
              <w:overflowPunct/>
              <w:autoSpaceDN/>
              <w:bidi w:val="0"/>
              <w:spacing w:before="0" w:beforeAutospacing="0" w:after="0" w:afterAutospacing="0" w:line="440" w:lineRule="exact"/>
              <w:ind w:left="0" w:right="0"/>
              <w:jc w:val="left"/>
              <w:textAlignment w:val="auto"/>
              <w:rPr>
                <w:rFonts w:hint="eastAsia" w:hAnsi="宋体" w:cs="宋体"/>
                <w:color w:val="auto"/>
                <w:sz w:val="21"/>
                <w:szCs w:val="21"/>
                <w:highlight w:val="none"/>
              </w:rPr>
            </w:pPr>
            <w:r>
              <w:rPr>
                <w:rFonts w:hint="eastAsia" w:hAnsi="宋体" w:cs="宋体"/>
                <w:color w:val="auto"/>
                <w:sz w:val="21"/>
                <w:szCs w:val="21"/>
                <w:highlight w:val="none"/>
                <w:lang w:eastAsia="zh-CN"/>
              </w:rPr>
              <w:t>☑</w:t>
            </w:r>
            <w:r>
              <w:rPr>
                <w:rFonts w:hint="eastAsia" w:hAnsi="宋体" w:cs="宋体"/>
                <w:color w:val="auto"/>
                <w:sz w:val="21"/>
                <w:szCs w:val="21"/>
                <w:highlight w:val="none"/>
              </w:rPr>
              <w:t>不允许</w:t>
            </w:r>
          </w:p>
          <w:p w14:paraId="4C7F9585">
            <w:pPr>
              <w:keepNext w:val="0"/>
              <w:keepLines w:val="0"/>
              <w:pageBreakBefore w:val="0"/>
              <w:suppressLineNumbers w:val="0"/>
              <w:kinsoku/>
              <w:wordWrap/>
              <w:overflowPunct/>
              <w:autoSpaceDN/>
              <w:bidi w:val="0"/>
              <w:spacing w:before="0" w:beforeAutospacing="0" w:after="0" w:afterAutospacing="0" w:line="440" w:lineRule="exact"/>
              <w:ind w:left="0" w:right="0"/>
              <w:jc w:val="left"/>
              <w:textAlignment w:val="auto"/>
              <w:rPr>
                <w:rFonts w:hint="eastAsia"/>
                <w:color w:val="auto"/>
                <w:szCs w:val="21"/>
                <w:highlight w:val="none"/>
              </w:rPr>
            </w:pPr>
            <w:r>
              <w:rPr>
                <w:rFonts w:hint="eastAsia" w:hAnsi="宋体" w:cs="宋体"/>
                <w:color w:val="auto"/>
                <w:sz w:val="21"/>
                <w:szCs w:val="21"/>
                <w:highlight w:val="none"/>
                <w:lang w:eastAsia="zh-CN"/>
              </w:rPr>
              <w:t>□</w:t>
            </w:r>
            <w:r>
              <w:rPr>
                <w:rFonts w:hint="eastAsia" w:ascii="宋体" w:hAnsi="宋体" w:cs="宋体"/>
                <w:color w:val="auto"/>
                <w:szCs w:val="21"/>
                <w:highlight w:val="none"/>
              </w:rPr>
              <w:t>允许，分包内容要求：/</w:t>
            </w:r>
          </w:p>
          <w:p w14:paraId="1E02A672">
            <w:pPr>
              <w:keepNext w:val="0"/>
              <w:keepLines w:val="0"/>
              <w:pageBreakBefore w:val="0"/>
              <w:suppressLineNumbers w:val="0"/>
              <w:kinsoku/>
              <w:wordWrap/>
              <w:overflowPunct/>
              <w:autoSpaceDN/>
              <w:bidi w:val="0"/>
              <w:spacing w:before="0" w:beforeAutospacing="0" w:after="0" w:afterAutospacing="0" w:line="44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分包金额要求：/</w:t>
            </w:r>
          </w:p>
          <w:p w14:paraId="5CDD9F6D">
            <w:pPr>
              <w:pStyle w:val="19"/>
              <w:keepNext w:val="0"/>
              <w:keepLines w:val="0"/>
              <w:pageBreakBefore w:val="0"/>
              <w:suppressLineNumbers w:val="0"/>
              <w:kinsoku/>
              <w:wordWrap/>
              <w:overflowPunct/>
              <w:autoSpaceDN/>
              <w:bidi w:val="0"/>
              <w:spacing w:before="0" w:beforeAutospacing="0" w:after="0" w:afterAutospacing="0" w:line="440" w:lineRule="exact"/>
              <w:ind w:left="0" w:right="0"/>
              <w:jc w:val="left"/>
              <w:textAlignment w:val="auto"/>
              <w:rPr>
                <w:rFonts w:hint="eastAsia"/>
                <w:color w:val="auto"/>
                <w:highlight w:val="none"/>
              </w:rPr>
            </w:pPr>
            <w:r>
              <w:rPr>
                <w:rFonts w:hint="eastAsia" w:hAnsi="宋体" w:cs="宋体"/>
                <w:color w:val="auto"/>
                <w:sz w:val="21"/>
                <w:szCs w:val="21"/>
                <w:highlight w:val="none"/>
              </w:rPr>
              <w:t>接受分包的第三人资质要求：/</w:t>
            </w:r>
          </w:p>
        </w:tc>
      </w:tr>
      <w:tr w14:paraId="6713B92B">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3E6AA00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CACEC4D">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偏离</w:t>
            </w:r>
          </w:p>
        </w:tc>
        <w:tc>
          <w:tcPr>
            <w:tcW w:w="6837" w:type="dxa"/>
            <w:tcBorders>
              <w:top w:val="single" w:color="auto" w:sz="4" w:space="0"/>
              <w:left w:val="single" w:color="auto" w:sz="4" w:space="0"/>
              <w:bottom w:val="single" w:color="auto" w:sz="4" w:space="0"/>
              <w:right w:val="single" w:color="auto" w:sz="4" w:space="0"/>
            </w:tcBorders>
            <w:noWrap/>
            <w:vAlign w:val="center"/>
          </w:tcPr>
          <w:p w14:paraId="03189168">
            <w:pPr>
              <w:pStyle w:val="19"/>
              <w:keepNext w:val="0"/>
              <w:keepLines w:val="0"/>
              <w:pageBreakBefore w:val="0"/>
              <w:suppressLineNumbers w:val="0"/>
              <w:kinsoku/>
              <w:wordWrap/>
              <w:overflowPunct/>
              <w:topLinePunct/>
              <w:autoSpaceDN/>
              <w:bidi w:val="0"/>
              <w:spacing w:before="0" w:beforeAutospacing="0" w:after="0" w:afterAutospacing="0" w:line="440" w:lineRule="exact"/>
              <w:ind w:left="0" w:right="0"/>
              <w:textAlignment w:val="auto"/>
              <w:rPr>
                <w:rFonts w:hint="default" w:hAnsi="宋体" w:cs="宋体"/>
                <w:color w:val="auto"/>
                <w:sz w:val="21"/>
                <w:szCs w:val="21"/>
                <w:highlight w:val="none"/>
              </w:rPr>
            </w:pPr>
            <w:r>
              <w:rPr>
                <w:rFonts w:hint="eastAsia"/>
                <w:color w:val="auto"/>
                <w:highlight w:val="none"/>
              </w:rPr>
              <w:t>☑</w:t>
            </w:r>
            <w:r>
              <w:rPr>
                <w:rFonts w:hint="eastAsia" w:hAnsi="宋体" w:cs="宋体"/>
                <w:color w:val="auto"/>
                <w:sz w:val="21"/>
                <w:szCs w:val="21"/>
                <w:highlight w:val="none"/>
              </w:rPr>
              <w:t>不允许；□允许</w:t>
            </w:r>
          </w:p>
        </w:tc>
      </w:tr>
      <w:tr w14:paraId="5647E6D3">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78A507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D6549EB">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构成招标文件的其他材料</w:t>
            </w:r>
          </w:p>
        </w:tc>
        <w:tc>
          <w:tcPr>
            <w:tcW w:w="6837" w:type="dxa"/>
            <w:tcBorders>
              <w:top w:val="single" w:color="auto" w:sz="4" w:space="0"/>
              <w:left w:val="single" w:color="auto" w:sz="4" w:space="0"/>
              <w:bottom w:val="single" w:color="auto" w:sz="4" w:space="0"/>
              <w:right w:val="single" w:color="auto" w:sz="4" w:space="0"/>
            </w:tcBorders>
            <w:noWrap/>
            <w:vAlign w:val="center"/>
          </w:tcPr>
          <w:p w14:paraId="0FA3530B">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招标人提供的其他材料及招标澄清答疑文件</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w:t>
            </w:r>
          </w:p>
        </w:tc>
      </w:tr>
      <w:tr w14:paraId="50FF530F">
        <w:tblPrEx>
          <w:tblCellMar>
            <w:top w:w="0" w:type="dxa"/>
            <w:left w:w="108" w:type="dxa"/>
            <w:bottom w:w="0" w:type="dxa"/>
            <w:right w:w="108" w:type="dxa"/>
          </w:tblCellMar>
        </w:tblPrEx>
        <w:trPr>
          <w:trHeight w:val="404"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1341D04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90C7E43">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投标人要求澄清招标文件的截止时间及方式</w:t>
            </w:r>
          </w:p>
        </w:tc>
        <w:tc>
          <w:tcPr>
            <w:tcW w:w="6837" w:type="dxa"/>
            <w:tcBorders>
              <w:top w:val="single" w:color="auto" w:sz="4" w:space="0"/>
              <w:left w:val="single" w:color="auto" w:sz="4" w:space="0"/>
              <w:bottom w:val="single" w:color="auto" w:sz="4" w:space="0"/>
              <w:right w:val="single" w:color="auto" w:sz="4" w:space="0"/>
            </w:tcBorders>
            <w:noWrap/>
            <w:vAlign w:val="center"/>
          </w:tcPr>
          <w:p w14:paraId="75CFFED3">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同本表第13条</w:t>
            </w:r>
          </w:p>
        </w:tc>
      </w:tr>
      <w:tr w14:paraId="6B0CA663">
        <w:tblPrEx>
          <w:tblCellMar>
            <w:top w:w="0" w:type="dxa"/>
            <w:left w:w="108" w:type="dxa"/>
            <w:bottom w:w="0" w:type="dxa"/>
            <w:right w:w="108" w:type="dxa"/>
          </w:tblCellMar>
        </w:tblPrEx>
        <w:trPr>
          <w:trHeight w:val="404"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4F3D9DF">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5518DC6">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rPr>
              <w:t>增值税税金</w:t>
            </w:r>
          </w:p>
        </w:tc>
        <w:tc>
          <w:tcPr>
            <w:tcW w:w="6837" w:type="dxa"/>
            <w:tcBorders>
              <w:top w:val="single" w:color="auto" w:sz="4" w:space="0"/>
              <w:left w:val="single" w:color="auto" w:sz="4" w:space="0"/>
              <w:bottom w:val="single" w:color="auto" w:sz="4" w:space="0"/>
              <w:right w:val="single" w:color="auto" w:sz="4" w:space="0"/>
            </w:tcBorders>
            <w:noWrap/>
            <w:vAlign w:val="top"/>
          </w:tcPr>
          <w:p w14:paraId="1840E859">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（1）计税方法：</w:t>
            </w:r>
          </w:p>
          <w:p w14:paraId="31D53991">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firstLine="420" w:firstLineChars="20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一般计税方法</w:t>
            </w:r>
          </w:p>
          <w:p w14:paraId="397E3A73">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firstLine="420" w:firstLineChars="20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 xml:space="preserve">□简易计算方法 </w:t>
            </w:r>
          </w:p>
          <w:p w14:paraId="0F1F9674">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（2）发票类型：</w:t>
            </w:r>
          </w:p>
          <w:p w14:paraId="5286D3E8">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firstLine="420" w:firstLineChars="20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增值税专用发票</w:t>
            </w:r>
          </w:p>
          <w:p w14:paraId="2C50DB13">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firstLine="420" w:firstLineChars="20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□增值税普通发票</w:t>
            </w:r>
          </w:p>
          <w:p w14:paraId="16E44764">
            <w:pPr>
              <w:keepNext w:val="0"/>
              <w:keepLines w:val="0"/>
              <w:pageBreakBefore w:val="0"/>
              <w:numPr>
                <w:ilvl w:val="0"/>
                <w:numId w:val="1"/>
              </w:numPr>
              <w:suppressLineNumbers w:val="0"/>
              <w:kinsoku/>
              <w:wordWrap/>
              <w:overflowPunct/>
              <w:autoSpaceDN/>
              <w:bidi w:val="0"/>
              <w:adjustRightInd w:val="0"/>
              <w:snapToGrid w:val="0"/>
              <w:spacing w:before="0" w:beforeAutospacing="0" w:after="0" w:afterAutospacing="0" w:line="440" w:lineRule="exact"/>
              <w:ind w:left="0" w:right="0"/>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增值税税率按照国家有关规定执行。</w:t>
            </w:r>
          </w:p>
          <w:p w14:paraId="3E8B0272">
            <w:pPr>
              <w:pStyle w:val="19"/>
              <w:keepNext w:val="0"/>
              <w:keepLines w:val="0"/>
              <w:pageBreakBefore w:val="0"/>
              <w:suppressLineNumbers w:val="0"/>
              <w:kinsoku/>
              <w:wordWrap/>
              <w:overflowPunct/>
              <w:topLinePunct/>
              <w:autoSpaceDN/>
              <w:bidi w:val="0"/>
              <w:adjustRightInd w:val="0"/>
              <w:snapToGrid w:val="0"/>
              <w:spacing w:before="0" w:beforeAutospacing="0" w:after="0" w:afterAutospacing="0" w:line="440" w:lineRule="exact"/>
              <w:ind w:left="0" w:right="0" w:firstLine="525" w:firstLineChars="250"/>
              <w:textAlignment w:val="auto"/>
              <w:rPr>
                <w:rFonts w:hint="eastAsia" w:ascii="宋体" w:hAnsi="宋体" w:cs="宋体"/>
                <w:color w:val="auto"/>
                <w:szCs w:val="21"/>
                <w:highlight w:val="none"/>
              </w:rPr>
            </w:pPr>
            <w:r>
              <w:rPr>
                <w:rFonts w:hint="eastAsia" w:ascii="宋体" w:hAnsi="宋体" w:eastAsia="宋体" w:cs="宋体"/>
                <w:bCs/>
                <w:snapToGrid w:val="0"/>
                <w:color w:val="auto"/>
                <w:kern w:val="0"/>
                <w:sz w:val="21"/>
                <w:szCs w:val="21"/>
                <w:highlight w:val="none"/>
              </w:rPr>
              <w:t>其它：</w:t>
            </w:r>
            <w:r>
              <w:rPr>
                <w:rFonts w:hint="eastAsia" w:ascii="宋体" w:hAnsi="宋体" w:eastAsia="宋体" w:cs="宋体"/>
                <w:bCs/>
                <w:snapToGrid w:val="0"/>
                <w:color w:val="auto"/>
                <w:kern w:val="0"/>
                <w:sz w:val="21"/>
                <w:szCs w:val="21"/>
                <w:highlight w:val="none"/>
                <w:u w:val="single"/>
                <w:lang w:val="en-US" w:eastAsia="zh-CN"/>
              </w:rPr>
              <w:t>/</w:t>
            </w:r>
            <w:r>
              <w:rPr>
                <w:rFonts w:hint="eastAsia" w:ascii="宋体" w:hAnsi="宋体" w:eastAsia="宋体" w:cs="宋体"/>
                <w:bCs/>
                <w:snapToGrid w:val="0"/>
                <w:color w:val="auto"/>
                <w:kern w:val="0"/>
                <w:sz w:val="21"/>
                <w:szCs w:val="21"/>
                <w:highlight w:val="none"/>
              </w:rPr>
              <w:t xml:space="preserve"> 。</w:t>
            </w:r>
          </w:p>
        </w:tc>
      </w:tr>
      <w:tr w14:paraId="3484A480">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8A31C2D">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49067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b/>
                <w:bCs/>
                <w:color w:val="auto"/>
                <w:sz w:val="21"/>
                <w:szCs w:val="21"/>
                <w:highlight w:val="none"/>
              </w:rPr>
              <w:t>最高投标限价</w:t>
            </w:r>
          </w:p>
        </w:tc>
        <w:tc>
          <w:tcPr>
            <w:tcW w:w="6837" w:type="dxa"/>
            <w:tcBorders>
              <w:top w:val="single" w:color="auto" w:sz="4" w:space="0"/>
              <w:left w:val="single" w:color="auto" w:sz="4" w:space="0"/>
              <w:bottom w:val="single" w:color="auto" w:sz="4" w:space="0"/>
              <w:right w:val="single" w:color="auto" w:sz="4" w:space="0"/>
            </w:tcBorders>
            <w:noWrap/>
            <w:vAlign w:val="center"/>
          </w:tcPr>
          <w:p w14:paraId="5ED416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b/>
                <w:color w:val="auto"/>
                <w:szCs w:val="21"/>
                <w:highlight w:val="none"/>
                <w:u w:val="single"/>
                <w:lang w:eastAsia="zh-CN"/>
              </w:rPr>
            </w:pPr>
            <w:r>
              <w:rPr>
                <w:rFonts w:hint="eastAsia" w:ascii="宋体" w:hAnsi="宋体" w:cs="宋体"/>
                <w:color w:val="auto"/>
                <w:sz w:val="21"/>
                <w:szCs w:val="21"/>
                <w:highlight w:val="none"/>
              </w:rPr>
              <w:t>公布的最高投标限价：</w:t>
            </w:r>
            <w:r>
              <w:rPr>
                <w:rFonts w:hint="eastAsia" w:ascii="宋体" w:hAnsi="宋体" w:cs="宋体"/>
                <w:color w:val="auto"/>
                <w:sz w:val="21"/>
                <w:szCs w:val="21"/>
                <w:highlight w:val="none"/>
                <w:u w:val="single"/>
                <w:lang w:val="en-US" w:eastAsia="zh-CN"/>
              </w:rPr>
              <w:t xml:space="preserve"> 451039.92</w:t>
            </w:r>
            <w:r>
              <w:rPr>
                <w:rFonts w:hint="eastAsia" w:ascii="宋体" w:hAnsi="宋体" w:cs="宋体"/>
                <w:color w:val="auto"/>
                <w:sz w:val="21"/>
                <w:szCs w:val="21"/>
                <w:highlight w:val="none"/>
              </w:rPr>
              <w:t>元（其中含暂列金额</w:t>
            </w:r>
            <w:r>
              <w:rPr>
                <w:rFonts w:hint="eastAsia" w:ascii="宋体" w:hAnsi="宋体" w:cs="宋体"/>
                <w:color w:val="auto"/>
                <w:sz w:val="21"/>
                <w:szCs w:val="21"/>
                <w:highlight w:val="none"/>
                <w:u w:val="single"/>
                <w:lang w:val="en-US" w:eastAsia="zh-CN"/>
              </w:rPr>
              <w:t xml:space="preserve"> 20000</w:t>
            </w:r>
            <w:r>
              <w:rPr>
                <w:rFonts w:hint="eastAsia" w:ascii="宋体" w:hAnsi="宋体" w:cs="宋体"/>
                <w:color w:val="auto"/>
                <w:sz w:val="21"/>
                <w:szCs w:val="21"/>
                <w:highlight w:val="none"/>
              </w:rPr>
              <w:t>元），应当包括总价、各单位工程的分部分项工程费、措施项目费、其他项目费、不可竞争性费用和税金。</w:t>
            </w:r>
            <w:r>
              <w:rPr>
                <w:rFonts w:hint="eastAsia" w:ascii="宋体" w:hAnsi="宋体" w:cs="宋体"/>
                <w:color w:val="auto"/>
                <w:sz w:val="21"/>
                <w:szCs w:val="21"/>
                <w:highlight w:val="none"/>
                <w:lang w:val="en-US" w:eastAsia="zh-CN"/>
              </w:rPr>
              <w:t>具体内容详见附件。</w:t>
            </w:r>
            <w:r>
              <w:rPr>
                <w:rFonts w:hint="eastAsia" w:ascii="宋体" w:hAnsi="宋体" w:cs="宋体"/>
                <w:b/>
                <w:bCs/>
                <w:color w:val="auto"/>
                <w:sz w:val="21"/>
                <w:szCs w:val="21"/>
                <w:highlight w:val="none"/>
              </w:rPr>
              <w:t xml:space="preserve"> </w:t>
            </w:r>
          </w:p>
        </w:tc>
      </w:tr>
      <w:tr w14:paraId="33653CF6">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F558C0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EBAC128">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投标有效期</w:t>
            </w:r>
          </w:p>
        </w:tc>
        <w:tc>
          <w:tcPr>
            <w:tcW w:w="6837" w:type="dxa"/>
            <w:tcBorders>
              <w:top w:val="single" w:color="auto" w:sz="4" w:space="0"/>
              <w:left w:val="single" w:color="auto" w:sz="4" w:space="0"/>
              <w:bottom w:val="single" w:color="auto" w:sz="4" w:space="0"/>
              <w:right w:val="single" w:color="auto" w:sz="4" w:space="0"/>
            </w:tcBorders>
            <w:noWrap/>
            <w:vAlign w:val="center"/>
          </w:tcPr>
          <w:p w14:paraId="0D43EDBA">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color w:val="auto"/>
                <w:kern w:val="0"/>
                <w:sz w:val="21"/>
                <w:szCs w:val="21"/>
                <w:highlight w:val="none"/>
              </w:rPr>
              <w:t>自投标人递交投标文件截止之日起计算</w:t>
            </w:r>
            <w:r>
              <w:rPr>
                <w:rFonts w:hint="eastAsia" w:ascii="宋体" w:hAnsi="宋体" w:eastAsia="宋体" w:cs="宋体"/>
                <w:color w:val="auto"/>
                <w:kern w:val="0"/>
                <w:sz w:val="21"/>
                <w:szCs w:val="21"/>
                <w:highlight w:val="none"/>
                <w:lang w:val="en-US" w:eastAsia="zh-CN"/>
              </w:rPr>
              <w:t>90</w:t>
            </w:r>
            <w:r>
              <w:rPr>
                <w:rFonts w:hint="eastAsia" w:ascii="宋体" w:hAnsi="宋体" w:eastAsia="宋体" w:cs="宋体"/>
                <w:color w:val="auto"/>
                <w:kern w:val="0"/>
                <w:sz w:val="21"/>
                <w:szCs w:val="21"/>
                <w:highlight w:val="none"/>
              </w:rPr>
              <w:t>日历天。在此期限内，凡符合本招标文件要求的投标文件均保持有效。</w:t>
            </w:r>
          </w:p>
        </w:tc>
      </w:tr>
      <w:tr w14:paraId="3B5D074E">
        <w:tblPrEx>
          <w:tblCellMar>
            <w:top w:w="0" w:type="dxa"/>
            <w:left w:w="108" w:type="dxa"/>
            <w:bottom w:w="0" w:type="dxa"/>
            <w:right w:w="108" w:type="dxa"/>
          </w:tblCellMar>
        </w:tblPrEx>
        <w:trPr>
          <w:trHeight w:val="52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0637DDA">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2</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5CB4137">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投标保证金</w:t>
            </w:r>
          </w:p>
        </w:tc>
        <w:tc>
          <w:tcPr>
            <w:tcW w:w="6837" w:type="dxa"/>
            <w:tcBorders>
              <w:top w:val="single" w:color="auto" w:sz="4" w:space="0"/>
              <w:left w:val="single" w:color="auto" w:sz="4" w:space="0"/>
              <w:bottom w:val="single" w:color="auto" w:sz="4" w:space="0"/>
              <w:right w:val="single" w:color="auto" w:sz="4" w:space="0"/>
            </w:tcBorders>
            <w:noWrap/>
            <w:vAlign w:val="center"/>
          </w:tcPr>
          <w:p w14:paraId="594EE2DC">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详见招标公告</w:t>
            </w:r>
          </w:p>
        </w:tc>
      </w:tr>
      <w:tr w14:paraId="4B169B30">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F03BC22">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ED0E852">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签字或盖章要求</w:t>
            </w:r>
          </w:p>
        </w:tc>
        <w:tc>
          <w:tcPr>
            <w:tcW w:w="6837" w:type="dxa"/>
            <w:tcBorders>
              <w:top w:val="single" w:color="auto" w:sz="4" w:space="0"/>
              <w:left w:val="single" w:color="auto" w:sz="4" w:space="0"/>
              <w:bottom w:val="single" w:color="auto" w:sz="4" w:space="0"/>
              <w:right w:val="single" w:color="auto" w:sz="4" w:space="0"/>
            </w:tcBorders>
            <w:noWrap/>
            <w:vAlign w:val="center"/>
          </w:tcPr>
          <w:p w14:paraId="4C935010">
            <w:pPr>
              <w:keepNext w:val="0"/>
              <w:keepLines w:val="0"/>
              <w:pageBreakBefore w:val="0"/>
              <w:widowControl/>
              <w:suppressLineNumbers w:val="0"/>
              <w:kinsoku/>
              <w:wordWrap/>
              <w:overflowPunct/>
              <w:autoSpaceDN/>
              <w:bidi w:val="0"/>
              <w:spacing w:before="0" w:beforeAutospacing="0" w:after="0" w:afterAutospacing="0" w:line="440" w:lineRule="exact"/>
              <w:ind w:left="0" w:right="0"/>
              <w:jc w:val="left"/>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电子投标文件须按格式文件要求签字或盖章（电子签章），招标文件格式中要求“签章”部位，指电子签章或盖章后扫描上传均可。</w:t>
            </w:r>
          </w:p>
          <w:p w14:paraId="1FB90A74">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b/>
                <w:color w:val="auto"/>
                <w:kern w:val="0"/>
                <w:szCs w:val="21"/>
                <w:highlight w:val="none"/>
              </w:rPr>
              <w:t>否则经评委会一致认定按照无效投标处理。</w:t>
            </w:r>
          </w:p>
        </w:tc>
      </w:tr>
      <w:tr w14:paraId="45EB7379">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C064C1F">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24</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1E93C699">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投标文件份数</w:t>
            </w:r>
          </w:p>
        </w:tc>
        <w:tc>
          <w:tcPr>
            <w:tcW w:w="6837" w:type="dxa"/>
            <w:tcBorders>
              <w:top w:val="single" w:color="auto" w:sz="4" w:space="0"/>
              <w:left w:val="single" w:color="auto" w:sz="4" w:space="0"/>
              <w:bottom w:val="single" w:color="auto" w:sz="4" w:space="0"/>
              <w:right w:val="single" w:color="auto" w:sz="4" w:space="0"/>
            </w:tcBorders>
            <w:noWrap/>
            <w:vAlign w:val="center"/>
          </w:tcPr>
          <w:p w14:paraId="56900DD7">
            <w:pPr>
              <w:pStyle w:val="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leftChars="0" w:right="0" w:firstLine="0" w:firstLineChars="0"/>
              <w:textAlignment w:val="auto"/>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加密电子投标文件投标人应在投标截止时间前通过新点电子交易平台后在【滁州专区】（https://www.etrading.cn/BREpointSSO/login/oauth2login?regioncode=DQ_ChuZhou）交易系统递交电子投标文件。</w:t>
            </w:r>
          </w:p>
          <w:p w14:paraId="4FE5B874">
            <w:pPr>
              <w:pStyle w:val="2"/>
              <w:keepNext w:val="0"/>
              <w:keepLines w:val="0"/>
              <w:pageBreakBefore w:val="0"/>
              <w:suppressLineNumbers w:val="0"/>
              <w:kinsoku/>
              <w:wordWrap/>
              <w:overflowPunct/>
              <w:autoSpaceDN/>
              <w:bidi w:val="0"/>
              <w:spacing w:before="0" w:beforeAutospacing="0" w:after="0" w:afterAutospacing="0" w:line="440" w:lineRule="exact"/>
              <w:ind w:left="0" w:leftChars="0" w:right="0" w:firstLine="0" w:firstLineChars="0"/>
              <w:textAlignment w:val="auto"/>
              <w:rPr>
                <w:rFonts w:hint="default"/>
                <w:color w:val="auto"/>
                <w:highlight w:val="none"/>
              </w:rPr>
            </w:pPr>
            <w:r>
              <w:rPr>
                <w:rFonts w:hint="eastAsia" w:ascii="宋体" w:hAnsi="宋体" w:cs="宋体"/>
                <w:b/>
                <w:color w:val="auto"/>
                <w:kern w:val="0"/>
                <w:szCs w:val="21"/>
                <w:highlight w:val="none"/>
              </w:rPr>
              <w:t>（投标人中标后须递交与网上电子投标文件完全一致的纸质版投标文件，并按要求加盖单位章；份数：正本1份，副本</w:t>
            </w:r>
            <w:r>
              <w:rPr>
                <w:rFonts w:hint="eastAsia" w:hAnsi="宋体" w:cs="宋体"/>
                <w:b/>
                <w:color w:val="auto"/>
                <w:kern w:val="0"/>
                <w:szCs w:val="21"/>
                <w:highlight w:val="none"/>
                <w:lang w:val="en-US" w:eastAsia="zh-CN"/>
              </w:rPr>
              <w:t>3</w:t>
            </w:r>
            <w:r>
              <w:rPr>
                <w:rFonts w:hint="eastAsia" w:ascii="宋体" w:hAnsi="宋体" w:cs="宋体"/>
                <w:b/>
                <w:color w:val="auto"/>
                <w:kern w:val="0"/>
                <w:szCs w:val="21"/>
                <w:highlight w:val="none"/>
              </w:rPr>
              <w:t>份；中标人领取中标通知书时，一并递交给招标代理机构）。</w:t>
            </w:r>
          </w:p>
        </w:tc>
      </w:tr>
      <w:tr w14:paraId="0C6864E0">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right w:val="single" w:color="auto" w:sz="4" w:space="0"/>
            </w:tcBorders>
            <w:noWrap/>
            <w:vAlign w:val="center"/>
          </w:tcPr>
          <w:p w14:paraId="18A5B8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cs="宋体"/>
                <w:color w:val="auto"/>
                <w:szCs w:val="21"/>
                <w:highlight w:val="none"/>
                <w:lang w:val="en-US"/>
              </w:rPr>
            </w:pPr>
            <w:r>
              <w:rPr>
                <w:rFonts w:hint="eastAsia" w:ascii="宋体" w:hAnsi="宋体" w:cs="宋体"/>
                <w:color w:val="auto"/>
                <w:kern w:val="2"/>
                <w:highlight w:val="none"/>
                <w:lang w:val="en-US" w:eastAsia="zh-CN"/>
              </w:rPr>
              <w:t>25</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7CA10E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color w:val="auto"/>
                <w:szCs w:val="21"/>
                <w:highlight w:val="none"/>
                <w:lang w:val="en-US" w:eastAsia="zh-CN"/>
              </w:rPr>
            </w:pPr>
            <w:r>
              <w:rPr>
                <w:rFonts w:hint="eastAsia" w:ascii="宋体"/>
                <w:color w:val="auto"/>
                <w:sz w:val="21"/>
                <w:szCs w:val="21"/>
                <w:highlight w:val="none"/>
              </w:rPr>
              <w:t>投标文件</w:t>
            </w:r>
            <w:r>
              <w:rPr>
                <w:rFonts w:hint="eastAsia" w:ascii="宋体" w:hAnsi="宋体" w:cs="宋体"/>
                <w:color w:val="auto"/>
                <w:szCs w:val="21"/>
                <w:highlight w:val="none"/>
                <w:lang w:val="en-US" w:eastAsia="zh-CN"/>
              </w:rPr>
              <w:t>提交截止时间</w:t>
            </w:r>
          </w:p>
        </w:tc>
        <w:tc>
          <w:tcPr>
            <w:tcW w:w="6837" w:type="dxa"/>
            <w:tcBorders>
              <w:top w:val="single" w:color="auto" w:sz="4" w:space="0"/>
              <w:left w:val="single" w:color="auto" w:sz="4" w:space="0"/>
              <w:bottom w:val="single" w:color="auto" w:sz="4" w:space="0"/>
              <w:right w:val="single" w:color="auto" w:sz="4" w:space="0"/>
            </w:tcBorders>
            <w:noWrap/>
            <w:vAlign w:val="center"/>
          </w:tcPr>
          <w:p w14:paraId="0F2F46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18" w:firstLineChars="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网上递交投标文件截止时间：202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lang w:val="en-US" w:eastAsia="zh-CN"/>
              </w:rPr>
              <w:t>日</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0分（北京时间）</w:t>
            </w:r>
          </w:p>
          <w:p w14:paraId="56C71E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19" w:firstLineChars="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注：以投标人在投标截止时间前网上递交的电子投标文件为准，逾期提交的，投标文件将被拒绝。</w:t>
            </w:r>
          </w:p>
          <w:p w14:paraId="4BD260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18" w:firstLineChars="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1.解密程序开始后30分钟内（以本项目网上招投标系统解密倒计时为准）。</w:t>
            </w:r>
          </w:p>
        </w:tc>
      </w:tr>
      <w:tr w14:paraId="18EF77F6">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469E38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cs="宋体"/>
                <w:color w:val="auto"/>
                <w:kern w:val="2"/>
                <w:highlight w:val="none"/>
                <w:lang w:val="en-US" w:eastAsia="zh-CN"/>
              </w:rPr>
              <w:t>26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23770E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是否允许递交备选投标方案</w:t>
            </w:r>
          </w:p>
        </w:tc>
        <w:tc>
          <w:tcPr>
            <w:tcW w:w="6837" w:type="dxa"/>
            <w:tcBorders>
              <w:top w:val="single" w:color="auto" w:sz="4" w:space="0"/>
              <w:left w:val="single" w:color="auto" w:sz="4" w:space="0"/>
              <w:bottom w:val="single" w:color="auto" w:sz="4" w:space="0"/>
              <w:right w:val="single" w:color="auto" w:sz="4" w:space="0"/>
            </w:tcBorders>
            <w:noWrap/>
            <w:vAlign w:val="center"/>
          </w:tcPr>
          <w:p w14:paraId="28BDF73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☑不允许；</w:t>
            </w:r>
          </w:p>
          <w:p w14:paraId="2C0FA23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w:t>
            </w:r>
            <w:r>
              <w:rPr>
                <w:rFonts w:hint="eastAsia" w:ascii="宋体" w:hAnsi="宋体" w:eastAsia="宋体" w:cs="宋体"/>
                <w:color w:val="auto"/>
                <w:kern w:val="2"/>
                <w:sz w:val="21"/>
                <w:szCs w:val="21"/>
                <w:highlight w:val="none"/>
                <w:u w:color="000000"/>
                <w:lang w:val="en-US" w:eastAsia="zh-CN" w:bidi="ar"/>
              </w:rPr>
              <w:t>允许：/</w:t>
            </w:r>
          </w:p>
        </w:tc>
      </w:tr>
      <w:tr w14:paraId="67446FC6">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2A2924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cs="宋体"/>
                <w:color w:val="auto"/>
                <w:szCs w:val="21"/>
                <w:highlight w:val="none"/>
                <w:lang w:val="en-US"/>
              </w:rPr>
            </w:pPr>
            <w:r>
              <w:rPr>
                <w:rFonts w:hint="eastAsia" w:ascii="宋体" w:hAnsi="宋体" w:eastAsia="宋体" w:cs="宋体"/>
                <w:color w:val="auto"/>
                <w:kern w:val="2"/>
                <w:highlight w:val="none"/>
                <w:lang w:val="en-US" w:eastAsia="zh-CN"/>
              </w:rPr>
              <w:t>2</w:t>
            </w:r>
            <w:r>
              <w:rPr>
                <w:rFonts w:hint="eastAsia" w:ascii="宋体" w:hAnsi="宋体" w:cs="宋体"/>
                <w:color w:val="auto"/>
                <w:kern w:val="2"/>
                <w:highlight w:val="none"/>
                <w:lang w:val="en-US" w:eastAsia="zh-CN"/>
              </w:rPr>
              <w:t>7</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30114B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是否退还投标文件</w:t>
            </w:r>
          </w:p>
        </w:tc>
        <w:tc>
          <w:tcPr>
            <w:tcW w:w="6837" w:type="dxa"/>
            <w:tcBorders>
              <w:top w:val="single" w:color="auto" w:sz="4" w:space="0"/>
              <w:left w:val="single" w:color="auto" w:sz="4" w:space="0"/>
              <w:bottom w:val="single" w:color="auto" w:sz="4" w:space="0"/>
              <w:right w:val="single" w:color="auto" w:sz="4" w:space="0"/>
            </w:tcBorders>
            <w:noWrap/>
            <w:vAlign w:val="center"/>
          </w:tcPr>
          <w:p w14:paraId="3B01A5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否</w:t>
            </w:r>
          </w:p>
        </w:tc>
      </w:tr>
      <w:tr w14:paraId="554E5010">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47D5599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highlight w:val="none"/>
                <w:lang w:val="en-US" w:eastAsia="zh-CN"/>
              </w:rPr>
              <w:t>2</w:t>
            </w:r>
            <w:r>
              <w:rPr>
                <w:rFonts w:hint="eastAsia" w:ascii="宋体" w:hAnsi="宋体" w:cs="宋体"/>
                <w:color w:val="auto"/>
                <w:kern w:val="2"/>
                <w:highlight w:val="none"/>
                <w:lang w:val="en-US" w:eastAsia="zh-CN"/>
              </w:rPr>
              <w:t>8</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B96C2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开标时间及地点</w:t>
            </w:r>
          </w:p>
        </w:tc>
        <w:tc>
          <w:tcPr>
            <w:tcW w:w="6837" w:type="dxa"/>
            <w:tcBorders>
              <w:top w:val="single" w:color="auto" w:sz="4" w:space="0"/>
              <w:left w:val="single" w:color="auto" w:sz="4" w:space="0"/>
              <w:bottom w:val="single" w:color="auto" w:sz="4" w:space="0"/>
              <w:right w:val="single" w:color="auto" w:sz="4" w:space="0"/>
            </w:tcBorders>
            <w:noWrap/>
            <w:vAlign w:val="center"/>
          </w:tcPr>
          <w:p w14:paraId="3DA97AB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详见招标公告</w:t>
            </w:r>
          </w:p>
        </w:tc>
      </w:tr>
      <w:tr w14:paraId="59938181">
        <w:tblPrEx>
          <w:tblCellMar>
            <w:top w:w="0" w:type="dxa"/>
            <w:left w:w="108" w:type="dxa"/>
            <w:bottom w:w="0" w:type="dxa"/>
            <w:right w:w="108" w:type="dxa"/>
          </w:tblCellMar>
        </w:tblPrEx>
        <w:trPr>
          <w:trHeight w:val="0"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BA111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cs="宋体"/>
                <w:color w:val="auto"/>
                <w:szCs w:val="21"/>
                <w:highlight w:val="none"/>
                <w:lang w:val="en-US"/>
              </w:rPr>
            </w:pPr>
            <w:r>
              <w:rPr>
                <w:rFonts w:hint="eastAsia" w:ascii="宋体" w:hAnsi="宋体" w:cs="宋体"/>
                <w:color w:val="auto"/>
                <w:kern w:val="2"/>
                <w:highlight w:val="none"/>
                <w:lang w:val="en-US" w:eastAsia="zh-CN"/>
              </w:rPr>
              <w:t>29</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059BE0F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开标程序</w:t>
            </w:r>
          </w:p>
        </w:tc>
        <w:tc>
          <w:tcPr>
            <w:tcW w:w="6837" w:type="dxa"/>
            <w:tcBorders>
              <w:top w:val="single" w:color="auto" w:sz="4" w:space="0"/>
              <w:left w:val="single" w:color="auto" w:sz="4" w:space="0"/>
              <w:bottom w:val="single" w:color="auto" w:sz="4" w:space="0"/>
              <w:right w:val="single" w:color="auto" w:sz="4" w:space="0"/>
            </w:tcBorders>
            <w:noWrap/>
            <w:vAlign w:val="center"/>
          </w:tcPr>
          <w:p w14:paraId="312B3E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解密电子投标文件后，由评标委员会评审。</w:t>
            </w:r>
          </w:p>
        </w:tc>
      </w:tr>
      <w:tr w14:paraId="5A3CC426">
        <w:tblPrEx>
          <w:tblCellMar>
            <w:top w:w="0" w:type="dxa"/>
            <w:left w:w="108" w:type="dxa"/>
            <w:bottom w:w="0" w:type="dxa"/>
            <w:right w:w="108" w:type="dxa"/>
          </w:tblCellMar>
        </w:tblPrEx>
        <w:trPr>
          <w:trHeight w:val="488"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7B6DF45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F2B105D">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评标委员会的组建</w:t>
            </w:r>
          </w:p>
        </w:tc>
        <w:tc>
          <w:tcPr>
            <w:tcW w:w="6837" w:type="dxa"/>
            <w:tcBorders>
              <w:top w:val="single" w:color="auto" w:sz="4" w:space="0"/>
              <w:left w:val="single" w:color="auto" w:sz="4" w:space="0"/>
              <w:bottom w:val="single" w:color="auto" w:sz="4" w:space="0"/>
              <w:right w:val="single" w:color="auto" w:sz="4" w:space="0"/>
            </w:tcBorders>
            <w:noWrap/>
            <w:vAlign w:val="center"/>
          </w:tcPr>
          <w:p w14:paraId="09FACAFB">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评标委员会</w:t>
            </w:r>
            <w:r>
              <w:rPr>
                <w:rFonts w:hint="eastAsia" w:ascii="宋体" w:hAnsi="宋体" w:cs="宋体"/>
                <w:color w:val="auto"/>
                <w:kern w:val="2"/>
                <w:sz w:val="21"/>
                <w:szCs w:val="21"/>
                <w:highlight w:val="none"/>
                <w:u w:val="single" w:color="auto"/>
                <w:lang w:val="en-US" w:eastAsia="zh-CN" w:bidi="ar"/>
              </w:rPr>
              <w:t>共3人，其中招标人代表0人，专家评委3人</w:t>
            </w:r>
            <w:r>
              <w:rPr>
                <w:rFonts w:hint="eastAsia" w:ascii="宋体" w:hAnsi="宋体" w:eastAsia="宋体" w:cs="宋体"/>
                <w:color w:val="auto"/>
                <w:kern w:val="2"/>
                <w:sz w:val="21"/>
                <w:szCs w:val="21"/>
                <w:highlight w:val="none"/>
                <w:u w:color="000000"/>
                <w:lang w:val="en-US" w:eastAsia="zh-CN" w:bidi="ar"/>
              </w:rPr>
              <w:t>；</w:t>
            </w:r>
          </w:p>
          <w:p w14:paraId="36B0EA06">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评标专家确定方式：专家评委由招标人在开标前从专家库中随机抽取。</w:t>
            </w:r>
          </w:p>
        </w:tc>
      </w:tr>
      <w:tr w14:paraId="6BB9958E">
        <w:tblPrEx>
          <w:tblCellMar>
            <w:top w:w="0" w:type="dxa"/>
            <w:left w:w="108" w:type="dxa"/>
            <w:bottom w:w="0" w:type="dxa"/>
            <w:right w:w="108" w:type="dxa"/>
          </w:tblCellMar>
        </w:tblPrEx>
        <w:trPr>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09EED14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b/>
                <w:bCs/>
                <w:color w:val="auto"/>
                <w:szCs w:val="21"/>
                <w:highlight w:val="none"/>
                <w:lang w:val="en-US" w:eastAsia="zh-CN"/>
              </w:rPr>
            </w:pPr>
            <w:r>
              <w:rPr>
                <w:rFonts w:hint="eastAsia" w:ascii="宋体" w:hAnsi="宋体" w:cs="宋体"/>
                <w:color w:val="auto"/>
                <w:szCs w:val="21"/>
                <w:highlight w:val="none"/>
                <w:lang w:val="en-US" w:eastAsia="zh-CN"/>
              </w:rPr>
              <w:t>31</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591A01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cs="宋体"/>
                <w:bCs/>
                <w:color w:val="auto"/>
                <w:szCs w:val="21"/>
                <w:highlight w:val="none"/>
              </w:rPr>
            </w:pPr>
            <w:r>
              <w:rPr>
                <w:rFonts w:hint="eastAsia" w:ascii="宋体" w:hAnsi="宋体" w:eastAsia="宋体" w:cs="宋体"/>
                <w:b w:val="0"/>
                <w:bCs w:val="0"/>
                <w:color w:val="auto"/>
                <w:sz w:val="21"/>
                <w:szCs w:val="21"/>
                <w:highlight w:val="none"/>
              </w:rPr>
              <w:t>评标委员会确定中标候选人的人数</w:t>
            </w:r>
          </w:p>
        </w:tc>
        <w:tc>
          <w:tcPr>
            <w:tcW w:w="6837" w:type="dxa"/>
            <w:tcBorders>
              <w:top w:val="single" w:color="auto" w:sz="4" w:space="0"/>
              <w:left w:val="single" w:color="auto" w:sz="4" w:space="0"/>
              <w:bottom w:val="single" w:color="auto" w:sz="4" w:space="0"/>
              <w:right w:val="single" w:color="auto" w:sz="4" w:space="0"/>
            </w:tcBorders>
            <w:noWrap/>
            <w:vAlign w:val="center"/>
          </w:tcPr>
          <w:p w14:paraId="66BAC0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textAlignment w:val="auto"/>
              <w:rPr>
                <w:rFonts w:hint="default" w:ascii="宋体" w:hAnsi="宋体" w:cs="宋体"/>
                <w:bCs/>
                <w:color w:val="auto"/>
                <w:szCs w:val="21"/>
                <w:highlight w:val="none"/>
              </w:rPr>
            </w:pP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14:paraId="75E93D81">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5EF03F7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32</w:t>
            </w:r>
          </w:p>
        </w:tc>
        <w:tc>
          <w:tcPr>
            <w:tcW w:w="2209" w:type="dxa"/>
            <w:gridSpan w:val="2"/>
            <w:tcBorders>
              <w:top w:val="single" w:color="auto" w:sz="4" w:space="0"/>
              <w:left w:val="single" w:color="auto" w:sz="4" w:space="0"/>
              <w:right w:val="single" w:color="auto" w:sz="4" w:space="0"/>
            </w:tcBorders>
            <w:noWrap/>
            <w:vAlign w:val="center"/>
          </w:tcPr>
          <w:p w14:paraId="3C2BCE70">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中标候选人公示媒介</w:t>
            </w:r>
          </w:p>
        </w:tc>
        <w:tc>
          <w:tcPr>
            <w:tcW w:w="6837" w:type="dxa"/>
            <w:tcBorders>
              <w:top w:val="single" w:color="auto" w:sz="4" w:space="0"/>
              <w:left w:val="single" w:color="auto" w:sz="4" w:space="0"/>
              <w:right w:val="single" w:color="auto" w:sz="4" w:space="0"/>
            </w:tcBorders>
            <w:noWrap/>
            <w:vAlign w:val="center"/>
          </w:tcPr>
          <w:p w14:paraId="5934AC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141B9AA6">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6411138F">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5752A23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33</w:t>
            </w:r>
          </w:p>
        </w:tc>
        <w:tc>
          <w:tcPr>
            <w:tcW w:w="2209" w:type="dxa"/>
            <w:gridSpan w:val="2"/>
            <w:tcBorders>
              <w:top w:val="single" w:color="auto" w:sz="4" w:space="0"/>
              <w:left w:val="single" w:color="auto" w:sz="4" w:space="0"/>
              <w:right w:val="single" w:color="auto" w:sz="4" w:space="0"/>
            </w:tcBorders>
            <w:noWrap/>
            <w:vAlign w:val="center"/>
          </w:tcPr>
          <w:p w14:paraId="3EC95986">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是否授权评标委员会确定中标人</w:t>
            </w:r>
          </w:p>
        </w:tc>
        <w:tc>
          <w:tcPr>
            <w:tcW w:w="6837" w:type="dxa"/>
            <w:tcBorders>
              <w:top w:val="single" w:color="auto" w:sz="4" w:space="0"/>
              <w:left w:val="single" w:color="auto" w:sz="4" w:space="0"/>
              <w:right w:val="single" w:color="auto" w:sz="4" w:space="0"/>
            </w:tcBorders>
            <w:noWrap/>
            <w:vAlign w:val="center"/>
          </w:tcPr>
          <w:p w14:paraId="4DFD74D4">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否</w:t>
            </w:r>
          </w:p>
        </w:tc>
      </w:tr>
      <w:tr w14:paraId="6F8B86CC">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30D7E079">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34</w:t>
            </w:r>
          </w:p>
        </w:tc>
        <w:tc>
          <w:tcPr>
            <w:tcW w:w="2209" w:type="dxa"/>
            <w:gridSpan w:val="2"/>
            <w:tcBorders>
              <w:top w:val="single" w:color="auto" w:sz="4" w:space="0"/>
              <w:left w:val="single" w:color="auto" w:sz="4" w:space="0"/>
              <w:right w:val="single" w:color="auto" w:sz="4" w:space="0"/>
            </w:tcBorders>
            <w:noWrap/>
            <w:vAlign w:val="center"/>
          </w:tcPr>
          <w:p w14:paraId="3F4DC3E1">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中标结果公示媒介</w:t>
            </w:r>
          </w:p>
        </w:tc>
        <w:tc>
          <w:tcPr>
            <w:tcW w:w="6837" w:type="dxa"/>
            <w:tcBorders>
              <w:top w:val="single" w:color="auto" w:sz="4" w:space="0"/>
              <w:left w:val="single" w:color="auto" w:sz="4" w:space="0"/>
              <w:right w:val="single" w:color="auto" w:sz="4" w:space="0"/>
            </w:tcBorders>
            <w:noWrap/>
            <w:vAlign w:val="center"/>
          </w:tcPr>
          <w:p w14:paraId="149EF425">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71E62F93">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公示期限： 1日</w:t>
            </w:r>
            <w:r>
              <w:rPr>
                <w:rFonts w:hint="eastAsia" w:ascii="宋体" w:hAnsi="宋体" w:cs="宋体"/>
                <w:b w:val="0"/>
                <w:bCs w:val="0"/>
                <w:color w:val="auto"/>
                <w:sz w:val="21"/>
                <w:szCs w:val="21"/>
                <w:highlight w:val="none"/>
                <w:lang w:eastAsia="zh-CN"/>
              </w:rPr>
              <w:t>。</w:t>
            </w:r>
          </w:p>
        </w:tc>
      </w:tr>
      <w:tr w14:paraId="1E99CD29">
        <w:tblPrEx>
          <w:tblCellMar>
            <w:top w:w="0" w:type="dxa"/>
            <w:left w:w="108" w:type="dxa"/>
            <w:bottom w:w="0" w:type="dxa"/>
            <w:right w:w="108" w:type="dxa"/>
          </w:tblCellMar>
        </w:tblPrEx>
        <w:trPr>
          <w:trHeight w:val="500" w:hRule="atLeast"/>
          <w:jc w:val="center"/>
        </w:trPr>
        <w:tc>
          <w:tcPr>
            <w:tcW w:w="868" w:type="dxa"/>
            <w:tcBorders>
              <w:top w:val="single" w:color="auto" w:sz="4" w:space="0"/>
              <w:left w:val="single" w:color="auto" w:sz="4" w:space="0"/>
              <w:right w:val="single" w:color="auto" w:sz="4" w:space="0"/>
            </w:tcBorders>
            <w:noWrap/>
            <w:vAlign w:val="center"/>
          </w:tcPr>
          <w:p w14:paraId="5CD3FD14">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35</w:t>
            </w:r>
          </w:p>
        </w:tc>
        <w:tc>
          <w:tcPr>
            <w:tcW w:w="2209" w:type="dxa"/>
            <w:gridSpan w:val="2"/>
            <w:tcBorders>
              <w:top w:val="single" w:color="auto" w:sz="4" w:space="0"/>
              <w:left w:val="single" w:color="auto" w:sz="4" w:space="0"/>
              <w:right w:val="single" w:color="auto" w:sz="4" w:space="0"/>
            </w:tcBorders>
            <w:noWrap/>
            <w:vAlign w:val="center"/>
          </w:tcPr>
          <w:p w14:paraId="78948775">
            <w:pPr>
              <w:keepNext w:val="0"/>
              <w:keepLines w:val="0"/>
              <w:pageBreakBefore w:val="0"/>
              <w:suppressLineNumbers w:val="0"/>
              <w:kinsoku/>
              <w:wordWrap/>
              <w:overflowPunct/>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rPr>
              <w:t>中标通知书发出形式</w:t>
            </w:r>
          </w:p>
        </w:tc>
        <w:tc>
          <w:tcPr>
            <w:tcW w:w="6837" w:type="dxa"/>
            <w:tcBorders>
              <w:top w:val="single" w:color="auto" w:sz="4" w:space="0"/>
              <w:left w:val="single" w:color="auto" w:sz="4" w:space="0"/>
              <w:right w:val="single" w:color="auto" w:sz="4" w:space="0"/>
            </w:tcBorders>
            <w:noWrap/>
            <w:vAlign w:val="center"/>
          </w:tcPr>
          <w:p w14:paraId="72945261">
            <w:pPr>
              <w:keepNext w:val="0"/>
              <w:keepLines w:val="0"/>
              <w:pageBreakBefore w:val="0"/>
              <w:widowControl/>
              <w:suppressLineNumbers w:val="0"/>
              <w:kinsoku/>
              <w:wordWrap/>
              <w:overflowPunct/>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中标通知书须加盖招标人、招标代理公司公章后方可发出。</w:t>
            </w:r>
          </w:p>
        </w:tc>
      </w:tr>
      <w:tr w14:paraId="616DD867">
        <w:tblPrEx>
          <w:tblCellMar>
            <w:top w:w="0" w:type="dxa"/>
            <w:left w:w="108" w:type="dxa"/>
            <w:bottom w:w="0" w:type="dxa"/>
            <w:right w:w="108" w:type="dxa"/>
          </w:tblCellMar>
        </w:tblPrEx>
        <w:trPr>
          <w:trHeight w:val="97" w:hRule="atLeast"/>
          <w:jc w:val="center"/>
        </w:trPr>
        <w:tc>
          <w:tcPr>
            <w:tcW w:w="868" w:type="dxa"/>
            <w:tcBorders>
              <w:top w:val="single" w:color="auto" w:sz="4" w:space="0"/>
              <w:left w:val="single" w:color="auto" w:sz="4" w:space="0"/>
              <w:bottom w:val="single" w:color="auto" w:sz="4" w:space="0"/>
              <w:right w:val="single" w:color="auto" w:sz="4" w:space="0"/>
            </w:tcBorders>
            <w:noWrap/>
            <w:vAlign w:val="center"/>
          </w:tcPr>
          <w:p w14:paraId="63D5A16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w:t>
            </w:r>
          </w:p>
        </w:tc>
        <w:tc>
          <w:tcPr>
            <w:tcW w:w="2209" w:type="dxa"/>
            <w:gridSpan w:val="2"/>
            <w:tcBorders>
              <w:top w:val="single" w:color="auto" w:sz="4" w:space="0"/>
              <w:left w:val="single" w:color="auto" w:sz="4" w:space="0"/>
              <w:bottom w:val="single" w:color="auto" w:sz="4" w:space="0"/>
              <w:right w:val="single" w:color="auto" w:sz="4" w:space="0"/>
            </w:tcBorders>
            <w:noWrap/>
            <w:vAlign w:val="center"/>
          </w:tcPr>
          <w:p w14:paraId="66979CC5">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履约担保</w:t>
            </w:r>
          </w:p>
        </w:tc>
        <w:tc>
          <w:tcPr>
            <w:tcW w:w="6837" w:type="dxa"/>
            <w:tcBorders>
              <w:top w:val="single" w:color="auto" w:sz="4" w:space="0"/>
              <w:left w:val="single" w:color="auto" w:sz="4" w:space="0"/>
              <w:bottom w:val="single" w:color="auto" w:sz="4" w:space="0"/>
              <w:right w:val="single" w:color="auto" w:sz="4" w:space="0"/>
            </w:tcBorders>
            <w:noWrap/>
            <w:vAlign w:val="center"/>
          </w:tcPr>
          <w:p w14:paraId="7374211F">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是否要求提交履约担保：要求</w:t>
            </w:r>
          </w:p>
          <w:p w14:paraId="19BD8AA1">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cs="宋体"/>
                <w:bCs/>
                <w:color w:val="auto"/>
                <w:szCs w:val="21"/>
                <w:highlight w:val="none"/>
              </w:rPr>
            </w:pPr>
            <w:r>
              <w:rPr>
                <w:rFonts w:hint="eastAsia" w:ascii="宋体" w:hAnsi="宋体" w:cs="宋体"/>
                <w:bCs/>
                <w:color w:val="auto"/>
                <w:szCs w:val="21"/>
                <w:highlight w:val="none"/>
              </w:rPr>
              <w:t>履约担保的形式：</w:t>
            </w:r>
            <w:r>
              <w:rPr>
                <w:rFonts w:hint="eastAsia" w:ascii="宋体" w:hAnsi="宋体" w:cs="宋体"/>
                <w:bCs/>
                <w:color w:val="auto"/>
                <w:szCs w:val="21"/>
                <w:highlight w:val="none"/>
                <w:lang w:val="en-US" w:eastAsia="zh-CN"/>
              </w:rPr>
              <w:t>支持</w:t>
            </w:r>
            <w:r>
              <w:rPr>
                <w:rFonts w:hint="eastAsia" w:ascii="宋体" w:hAnsi="宋体" w:cs="宋体"/>
                <w:bCs/>
                <w:color w:val="auto"/>
                <w:szCs w:val="21"/>
                <w:highlight w:val="none"/>
              </w:rPr>
              <w:t>银行转账、银行电汇、银行保函、担保机构担保、保证保险使用</w:t>
            </w:r>
            <w:r>
              <w:rPr>
                <w:rFonts w:hint="eastAsia" w:ascii="宋体" w:hAnsi="宋体" w:cs="宋体"/>
                <w:color w:val="auto"/>
                <w:szCs w:val="21"/>
                <w:highlight w:val="none"/>
              </w:rPr>
              <w:t xml:space="preserve"> </w:t>
            </w:r>
          </w:p>
          <w:p w14:paraId="157AE181">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eastAsia="宋体" w:cs="宋体"/>
                <w:color w:val="auto"/>
                <w:szCs w:val="21"/>
                <w:highlight w:val="none"/>
                <w:lang w:val="en-US" w:eastAsia="zh-CN"/>
              </w:rPr>
            </w:pPr>
            <w:r>
              <w:rPr>
                <w:rFonts w:hint="eastAsia" w:ascii="宋体" w:hAnsi="宋体" w:cs="宋体"/>
                <w:bCs/>
                <w:color w:val="auto"/>
                <w:szCs w:val="21"/>
                <w:highlight w:val="none"/>
              </w:rPr>
              <w:t>履约担保的金额：中标</w:t>
            </w:r>
            <w:r>
              <w:rPr>
                <w:rFonts w:hint="eastAsia" w:ascii="宋体" w:hAnsi="宋体" w:cs="宋体"/>
                <w:color w:val="auto"/>
                <w:szCs w:val="21"/>
                <w:highlight w:val="none"/>
                <w:lang w:val="en-US" w:eastAsia="zh-CN"/>
              </w:rPr>
              <w:t>合同价款</w:t>
            </w:r>
            <w:r>
              <w:rPr>
                <w:rFonts w:hint="eastAsia" w:ascii="宋体" w:hAnsi="宋体" w:cs="宋体"/>
                <w:bCs/>
                <w:color w:val="auto"/>
                <w:szCs w:val="21"/>
                <w:highlight w:val="none"/>
              </w:rPr>
              <w:t>×2%</w:t>
            </w:r>
          </w:p>
          <w:p w14:paraId="3AA92A7D">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29DCBDC6">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51CFDBF7">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23F6196A">
            <w:pPr>
              <w:keepNext w:val="0"/>
              <w:keepLines w:val="0"/>
              <w:pageBreakBefore w:val="0"/>
              <w:suppressLineNumbers w:val="0"/>
              <w:kinsoku/>
              <w:wordWrap/>
              <w:overflowPunct/>
              <w:autoSpaceDN/>
              <w:bidi w:val="0"/>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缴纳时限：</w:t>
            </w:r>
            <w:r>
              <w:rPr>
                <w:rFonts w:hint="eastAsia" w:ascii="宋体" w:hAnsi="宋体" w:cs="宋体"/>
                <w:color w:val="auto"/>
                <w:szCs w:val="21"/>
                <w:highlight w:val="none"/>
              </w:rPr>
              <w:t>合同签订前。</w:t>
            </w:r>
          </w:p>
          <w:p w14:paraId="509DB453">
            <w:pPr>
              <w:pStyle w:val="4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履约保证金退还时限：履约保证金有效期满7日内</w:t>
            </w:r>
            <w:r>
              <w:rPr>
                <w:rFonts w:hint="eastAsia" w:cs="宋体"/>
                <w:color w:val="auto"/>
                <w:sz w:val="21"/>
                <w:szCs w:val="21"/>
                <w:highlight w:val="none"/>
                <w:lang w:val="en-US" w:eastAsia="zh-CN"/>
              </w:rPr>
              <w:t>。</w:t>
            </w:r>
          </w:p>
          <w:p w14:paraId="654CF6E9">
            <w:pPr>
              <w:keepNext w:val="0"/>
              <w:keepLines w:val="0"/>
              <w:pageBreakBefore w:val="0"/>
              <w:suppressLineNumbers w:val="0"/>
              <w:kinsoku/>
              <w:wordWrap/>
              <w:overflowPunct/>
              <w:autoSpaceDE/>
              <w:autoSpaceDN/>
              <w:bidi w:val="0"/>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eastAsia="宋体" w:cs="宋体"/>
                <w:color w:val="auto"/>
                <w:sz w:val="21"/>
                <w:szCs w:val="21"/>
                <w:highlight w:val="none"/>
                <w:lang w:val="en-US" w:eastAsia="zh-CN"/>
              </w:rPr>
              <w:t>其他相关要求：</w:t>
            </w:r>
            <w:r>
              <w:rPr>
                <w:rFonts w:hint="eastAsia" w:ascii="宋体" w:hAnsi="宋体" w:cs="宋体"/>
                <w:color w:val="auto"/>
                <w:sz w:val="21"/>
                <w:szCs w:val="21"/>
                <w:highlight w:val="none"/>
                <w:lang w:val="en-US" w:eastAsia="zh-CN"/>
              </w:rPr>
              <w:t>须符合招标人要求</w:t>
            </w:r>
            <w:r>
              <w:rPr>
                <w:rFonts w:hint="eastAsia" w:ascii="宋体" w:hAnsi="宋体" w:cs="宋体"/>
                <w:color w:val="auto"/>
                <w:szCs w:val="21"/>
                <w:highlight w:val="none"/>
              </w:rPr>
              <w:t>。 </w:t>
            </w:r>
          </w:p>
        </w:tc>
      </w:tr>
      <w:tr w14:paraId="00B21AE1">
        <w:tblPrEx>
          <w:tblCellMar>
            <w:top w:w="0" w:type="dxa"/>
            <w:left w:w="108" w:type="dxa"/>
            <w:bottom w:w="0" w:type="dxa"/>
            <w:right w:w="108" w:type="dxa"/>
          </w:tblCellMar>
        </w:tblPrEx>
        <w:trPr>
          <w:trHeight w:val="90" w:hRule="atLeast"/>
          <w:jc w:val="center"/>
        </w:trPr>
        <w:tc>
          <w:tcPr>
            <w:tcW w:w="9914" w:type="dxa"/>
            <w:gridSpan w:val="4"/>
            <w:tcBorders>
              <w:top w:val="single" w:color="auto" w:sz="4" w:space="0"/>
              <w:left w:val="single" w:color="auto" w:sz="4" w:space="0"/>
              <w:bottom w:val="single" w:color="auto" w:sz="4" w:space="0"/>
              <w:right w:val="single" w:color="auto" w:sz="4" w:space="0"/>
            </w:tcBorders>
            <w:noWrap/>
            <w:vAlign w:val="center"/>
          </w:tcPr>
          <w:p w14:paraId="4EA6DC93">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Cs w:val="21"/>
                <w:highlight w:val="none"/>
              </w:rPr>
              <w:t>需要补充的其他内容</w:t>
            </w:r>
          </w:p>
        </w:tc>
      </w:tr>
      <w:tr w14:paraId="570BA4C9">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1ACBEBFC">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Cs w:val="21"/>
                <w:highlight w:val="none"/>
              </w:rPr>
            </w:pPr>
            <w:r>
              <w:rPr>
                <w:rFonts w:hint="eastAsia" w:ascii="宋体" w:hAnsi="宋体" w:cs="宋体"/>
                <w:color w:val="auto"/>
                <w:sz w:val="21"/>
                <w:szCs w:val="21"/>
                <w:highlight w:val="none"/>
              </w:rPr>
              <w:t>招标代理服务费</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510B69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kern w:val="0"/>
                <w:szCs w:val="21"/>
                <w:highlight w:val="none"/>
              </w:rPr>
            </w:pPr>
            <w:r>
              <w:rPr>
                <w:rFonts w:hint="eastAsia" w:ascii="宋体" w:hAnsi="宋体" w:cs="宋体"/>
                <w:color w:val="auto"/>
                <w:kern w:val="0"/>
                <w:szCs w:val="21"/>
                <w:highlight w:val="none"/>
              </w:rPr>
              <w:t>代理服务具体金额：</w:t>
            </w:r>
            <w:r>
              <w:rPr>
                <w:rFonts w:hint="eastAsia" w:ascii="宋体" w:hAnsi="宋体" w:cs="宋体"/>
                <w:color w:val="auto"/>
                <w:kern w:val="0"/>
                <w:szCs w:val="21"/>
                <w:highlight w:val="none"/>
                <w:lang w:val="en-US" w:eastAsia="zh-CN"/>
              </w:rPr>
              <w:t>3000</w:t>
            </w:r>
            <w:r>
              <w:rPr>
                <w:rFonts w:hint="eastAsia" w:ascii="宋体" w:hAnsi="宋体" w:cs="宋体"/>
                <w:color w:val="auto"/>
                <w:kern w:val="0"/>
                <w:szCs w:val="21"/>
                <w:highlight w:val="none"/>
              </w:rPr>
              <w:t>元</w:t>
            </w:r>
            <w:r>
              <w:rPr>
                <w:rFonts w:hint="eastAsia" w:ascii="宋体" w:hAnsi="宋体" w:cs="宋体"/>
                <w:bCs/>
                <w:color w:val="auto"/>
                <w:kern w:val="0"/>
                <w:highlight w:val="none"/>
              </w:rPr>
              <w:t>。</w:t>
            </w:r>
          </w:p>
          <w:p w14:paraId="56F56F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kern w:val="0"/>
                <w:szCs w:val="21"/>
                <w:highlight w:val="none"/>
              </w:rPr>
              <w:t>代理服务费支付主体</w:t>
            </w:r>
            <w:r>
              <w:rPr>
                <w:rFonts w:hint="eastAsia" w:ascii="宋体" w:hAnsi="宋体" w:cs="宋体"/>
                <w:color w:val="auto"/>
                <w:szCs w:val="21"/>
                <w:highlight w:val="none"/>
              </w:rPr>
              <w:t>：中标单位</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rPr>
              <w:t>由中标单位在领取中标通知书时，一次性支付给代理机构。</w:t>
            </w:r>
          </w:p>
        </w:tc>
      </w:tr>
      <w:tr w14:paraId="425DA5A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33169FCB">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 w:val="21"/>
                <w:szCs w:val="21"/>
                <w:highlight w:val="none"/>
              </w:rPr>
              <w:t>专家评审劳务费</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723DA48D">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费用或支付标准：</w:t>
            </w:r>
            <w:r>
              <w:rPr>
                <w:rFonts w:hint="eastAsia" w:ascii="宋体" w:hAnsi="宋体" w:cs="宋体"/>
                <w:color w:val="auto"/>
                <w:sz w:val="21"/>
                <w:szCs w:val="21"/>
                <w:highlight w:val="none"/>
                <w:lang w:val="en-US" w:eastAsia="zh-CN"/>
              </w:rPr>
              <w:t>以实际发生为准。</w:t>
            </w:r>
          </w:p>
          <w:p w14:paraId="23D6C3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kern w:val="0"/>
                <w:szCs w:val="21"/>
                <w:highlight w:val="none"/>
              </w:rPr>
            </w:pPr>
            <w:r>
              <w:rPr>
                <w:rFonts w:hint="eastAsia"/>
                <w:color w:val="auto"/>
                <w:sz w:val="21"/>
                <w:szCs w:val="21"/>
                <w:highlight w:val="none"/>
              </w:rPr>
              <w:t>支付主体：</w:t>
            </w:r>
            <w:r>
              <w:rPr>
                <w:rFonts w:hint="eastAsia"/>
                <w:color w:val="auto"/>
                <w:sz w:val="21"/>
                <w:szCs w:val="21"/>
                <w:highlight w:val="none"/>
                <w:lang w:val="en-US" w:eastAsia="zh-CN"/>
              </w:rPr>
              <w:t>中标单位，由中标单位在领取中标通知书时，一次性支付给代理机构。</w:t>
            </w:r>
          </w:p>
        </w:tc>
      </w:tr>
      <w:tr w14:paraId="30820828">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64C042B1">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评标过程中的澄清、说明或补正</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3638D8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rPr>
            </w:pPr>
            <w:r>
              <w:rPr>
                <w:rFonts w:hint="eastAsia"/>
                <w:color w:val="auto"/>
                <w:sz w:val="21"/>
                <w:szCs w:val="21"/>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55C709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rPr>
            </w:pPr>
            <w:r>
              <w:rPr>
                <w:rFonts w:hint="eastAsia"/>
                <w:color w:val="auto"/>
                <w:sz w:val="21"/>
                <w:szCs w:val="21"/>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693F6980">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91EE794">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材料</w:t>
            </w:r>
          </w:p>
          <w:p w14:paraId="266246DD">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要求</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0F0334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rPr>
            </w:pPr>
            <w:r>
              <w:rPr>
                <w:rFonts w:hint="eastAsia"/>
                <w:color w:val="auto"/>
                <w:sz w:val="21"/>
                <w:szCs w:val="21"/>
                <w:highlight w:val="none"/>
              </w:rPr>
              <w:t>（1）钢材首选使用马钢、南钢等为代表的一类钢厂的生产产品；（2）中标人自行采购的材料应满足设计和规范要求的质量等级，并须按有关技术规范要求对材料质量进行检验；中标人选定的材料供应厂家、质量须经招标人和监理单位备案，如招标人和监理单位对某种或某些材料的质量有异议，有权提出停止使用的要求， 中标人必须服从要求，若该材料经权威检验部门鉴定确有质量问题，由此发生的一切费用由中标人承担；主要材料供应商发生过质量事故及管理混乱的，不得用于重点工程建设，发包人保留否决权；因中标人自行采购的材料质量引起的工程质量问题由中标人承担所造成的一切损失。（3）业主对主要设备及材料有特殊要求的，需提供不少于三个推荐品牌供参考，对于招标人推荐品牌的材料设备，投标人可选用推荐品牌或不低于推荐品牌性能、技术水平、质量标准的其它品牌，如采用其它品牌的，应在投标文件中注明并提供相关技术参数、业绩等供评标委员会评审，未注明或未提供相关技术参数、业绩的或经评标委员会评审未通过的，中标后只能从招标人推荐品牌中进行选择，价格不予调整；招标人选择推荐品牌之外的除外。（4）对于业主推荐品牌的材料，投标人如认为业主推荐的品牌有限定性、唯一性、明显不在同一档次等级的或者其他异议的，应在疑问提出的截止时间前通过交易中心电子交易平台提交。（5）品牌推荐表中所选品牌的产品均为该品牌中档及以上的产品，中标人须在材料设备进场前将样品或技术参数报招标人认可。（6）要求提供产品厂家授权、承诺的，中标后签订合同前提供，中标候选人未在合同签订期限内提供的，视为放弃中标资格，投标保证金不予退还。</w:t>
            </w:r>
          </w:p>
        </w:tc>
      </w:tr>
      <w:tr w14:paraId="5951C98E">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0AEE8544">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工程质量管理</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627960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承包人被发包人项目组日常检查、专项检查或第三方巡查等检查出未按设计文件和相关规范施工，存在质量隐患的，必须按要求和规定时限整改到位，同时每次处以2000-50000元的违约金。对拒不执行或整改不力的，加重处罚。情节严重的，发包人有权解除合同，并追偿经济损失。</w:t>
            </w:r>
          </w:p>
          <w:p w14:paraId="2B39EA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（2）质量缺陷责任期内出现质量问题，发包人书面通知承包人，在规定时间内不及时处理的，发包人有权直接委托其他单位进行维修，相关费用直接从工程质保金（运维保证金）中支付。</w:t>
            </w:r>
          </w:p>
        </w:tc>
      </w:tr>
      <w:tr w14:paraId="201D2D99">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17044639">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安全文明管理</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4B0C56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承包人必须确保安全文明施工，严格执行国家、安徽省、滁州市的相关规定，同时遵守建设单位对安全文明施工的相关要求。经检查，达不到相关规定和要求的，由项目组及时下发整改通知书，拒不整改或限期整改不到位的，处承包人2000元/项/次的违约金。施工现场卫生保洁自开工之日起至工程竣工移交结束，切实做好项目管理人员和工人宿舍安全、卫生工作。</w:t>
            </w:r>
          </w:p>
          <w:p w14:paraId="16F3E0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（2）执行按关于印发《滁州市建筑工地围挡提档升级标准》的通知（建质﹝2022﹞34号文）执行。</w:t>
            </w:r>
          </w:p>
        </w:tc>
      </w:tr>
      <w:tr w14:paraId="2101D359">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582787E7">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现场管理</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7E489F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1、施工过程中，项目管理及施工人员以外的无关人员一律不得留宿施工现场，项目负责人负责管理及清理出场；</w:t>
            </w:r>
          </w:p>
          <w:p w14:paraId="757AB3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2、施工过程中，严格执行国家及地方针对环保、禁噪、防尘、防护等措施，必须满足当地行政主管部门相关规定及要求。</w:t>
            </w:r>
          </w:p>
          <w:p w14:paraId="50B826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3、施工场地及周边场地、道路、绿化、管线、围墙等，若被施工方损坏，施工方必须无偿按照原貌恢复。</w:t>
            </w:r>
          </w:p>
          <w:p w14:paraId="61601C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4、投标人自行勘察施工现场情况，因投标人未踏勘现场而造成的损失由投标人承担。</w:t>
            </w:r>
          </w:p>
          <w:p w14:paraId="051274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5、在工程建设过程中，出现质量、安全、进度、文明施工、扬尘污染、人员不在岗履职等违约行为的，发包人将给予违约处罚；如承包人拒不缴纳违约金的，发包人有权从履约保证金中直接扣除。</w:t>
            </w:r>
          </w:p>
          <w:p w14:paraId="17DF52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6、项目经理部需在醒目位置公示经监理、业主审定批准的月进度计划表，否则，当月不支付当月工程进度款。</w:t>
            </w:r>
          </w:p>
          <w:p w14:paraId="0C6069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7、本项目施工难度较大，投标人在标前应自行踏勘现场，充分考虑难度系数和不可预见因素。施工期间的协调工作由承包人自行解决，此部分费用包含在投标报价中。</w:t>
            </w:r>
          </w:p>
        </w:tc>
      </w:tr>
      <w:tr w14:paraId="5D6DB4C2">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2FB78CFF">
            <w:pPr>
              <w:keepNext w:val="0"/>
              <w:keepLines w:val="0"/>
              <w:pageBreakBefore w:val="0"/>
              <w:suppressLineNumbers w:val="0"/>
              <w:kinsoku/>
              <w:wordWrap/>
              <w:overflowPunct/>
              <w:autoSpaceDN/>
              <w:bidi w:val="0"/>
              <w:adjustRightInd w:val="0"/>
              <w:snapToGrid w:val="0"/>
              <w:spacing w:before="0" w:beforeAutospacing="0" w:after="0" w:afterAutospacing="0" w:line="440" w:lineRule="exact"/>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文明施工要求</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361A7A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（1）公共环境</w:t>
            </w:r>
          </w:p>
          <w:p w14:paraId="48EDE7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①建筑工地采用砌体、钢结构或彩钢夹芯板等，不得使用彩钢板封闭管理，高度不低于3米；储备用地、路面施工应一律设置建筑围墙进行遮挡。环境卫生干净整洁，围墙内外无乱堆放现象，无生活垃圾；施工现场标识明显，四周设置围墙、围挡，并符合标准；施工车辆有硬化的进出通道和冲洗设备，无抛洒和污染路面现象。</w:t>
            </w:r>
          </w:p>
          <w:p w14:paraId="0768F3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②场内设有不少于15米硬化面，车辆进出工地实行密闭运输，有车辆冲洗平台和冲洗设备、临时厕所、垃圾收集容器、污水处理排放系统、降尘设备等设施；场内干净整洁，机械设备、物料等摆放有序，安全施工措施到位，文明施工氛围浓厚。能够开展文明工地创建，施工噪音、粉尘等达到国家环保要求。</w:t>
            </w:r>
          </w:p>
          <w:p w14:paraId="276639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（2）公益宣传</w:t>
            </w:r>
          </w:p>
          <w:p w14:paraId="322AE0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①运用建筑围挡宣传展示社会主义核心价值观12个主题词、市民文明行为规范，及时更新中宣部、中央文明办发布的“讲文明树新风”、“图说我们的价值观”通稿作品以及本市自创的公益广告（建筑围挡无破墙开洞现象，公益广告无污染、破旧现象）。</w:t>
            </w:r>
          </w:p>
          <w:p w14:paraId="6E2D99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 xml:space="preserve">②公益广告展示面积占围挡总面积的比例不少于50%，且公益广告要与商业广告穿插展示（每3块广告中必须要有1块公益广告），且单面围挡墙体均能看到公益宣传。步行30米，达到50%面积比例。 </w:t>
            </w:r>
          </w:p>
        </w:tc>
      </w:tr>
      <w:tr w14:paraId="527F8741">
        <w:tblPrEx>
          <w:tblCellMar>
            <w:top w:w="0" w:type="dxa"/>
            <w:left w:w="108" w:type="dxa"/>
            <w:bottom w:w="0" w:type="dxa"/>
            <w:right w:w="108" w:type="dxa"/>
          </w:tblCellMar>
        </w:tblPrEx>
        <w:trPr>
          <w:jc w:val="center"/>
        </w:trPr>
        <w:tc>
          <w:tcPr>
            <w:tcW w:w="1778" w:type="dxa"/>
            <w:gridSpan w:val="2"/>
            <w:tcBorders>
              <w:top w:val="single" w:color="auto" w:sz="4" w:space="0"/>
              <w:left w:val="single" w:color="auto" w:sz="4" w:space="0"/>
              <w:bottom w:val="single" w:color="auto" w:sz="4" w:space="0"/>
              <w:right w:val="single" w:color="auto" w:sz="4" w:space="0"/>
            </w:tcBorders>
            <w:noWrap/>
            <w:vAlign w:val="center"/>
          </w:tcPr>
          <w:p w14:paraId="19F24BFC">
            <w:pPr>
              <w:keepNext w:val="0"/>
              <w:keepLines w:val="0"/>
              <w:pageBreakBefore w:val="0"/>
              <w:suppressLineNumbers w:val="0"/>
              <w:kinsoku/>
              <w:wordWrap/>
              <w:overflowPunct/>
              <w:autoSpaceDN/>
              <w:bidi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8136" w:type="dxa"/>
            <w:gridSpan w:val="2"/>
            <w:tcBorders>
              <w:top w:val="single" w:color="auto" w:sz="4" w:space="0"/>
              <w:left w:val="single" w:color="auto" w:sz="4" w:space="0"/>
              <w:bottom w:val="single" w:color="auto" w:sz="4" w:space="0"/>
              <w:right w:val="single" w:color="auto" w:sz="4" w:space="0"/>
            </w:tcBorders>
            <w:noWrap/>
            <w:vAlign w:val="center"/>
          </w:tcPr>
          <w:p w14:paraId="7E93C2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1、本招标文件前后条款若有不一致之处，在澄清答疑时又未作出明确规定时，各投标人的投标文件只要满足其中任一条款，均视为对本招标文件的响应。</w:t>
            </w:r>
          </w:p>
          <w:p w14:paraId="27DA18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2、本项目招标公告与本招标文件不一致之处，以本招标文件为准。</w:t>
            </w:r>
          </w:p>
          <w:p w14:paraId="25D6F4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3、本项目严禁非法转包，一经发现，招标人依法处理。</w:t>
            </w:r>
          </w:p>
          <w:p w14:paraId="7BDF3D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cs="宋体"/>
                <w:strike/>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、本文件的最终解释权归招标人、招标代理机构所有。</w:t>
            </w:r>
          </w:p>
        </w:tc>
      </w:tr>
    </w:tbl>
    <w:p w14:paraId="621305A5">
      <w:pPr>
        <w:rPr>
          <w:rFonts w:hint="eastAsia" w:ascii="宋体" w:hAnsi="宋体" w:eastAsia="宋体" w:cs="宋体"/>
          <w:color w:val="auto"/>
          <w:sz w:val="24"/>
          <w:szCs w:val="24"/>
          <w:highlight w:val="none"/>
        </w:rPr>
      </w:pPr>
      <w:bookmarkStart w:id="61" w:name="_Toc15058846"/>
      <w:bookmarkStart w:id="62" w:name="_Toc78803322"/>
      <w:bookmarkStart w:id="63" w:name="_Toc5813"/>
      <w:bookmarkStart w:id="64" w:name="_Toc35425053"/>
      <w:bookmarkStart w:id="65" w:name="_Toc35424887"/>
      <w:r>
        <w:rPr>
          <w:rFonts w:hint="eastAsia" w:ascii="宋体" w:hAnsi="宋体" w:eastAsia="宋体" w:cs="宋体"/>
          <w:color w:val="auto"/>
          <w:sz w:val="24"/>
          <w:szCs w:val="24"/>
          <w:highlight w:val="none"/>
        </w:rPr>
        <w:br w:type="page"/>
      </w:r>
    </w:p>
    <w:p w14:paraId="397CD072">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总则</w:t>
      </w:r>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1602C201">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kern w:val="44"/>
          <w:highlight w:val="none"/>
        </w:rPr>
      </w:pPr>
      <w:bookmarkStart w:id="66" w:name="_Toc246996176"/>
      <w:bookmarkStart w:id="67" w:name="_Toc247085690"/>
      <w:bookmarkStart w:id="68" w:name="_Toc506107270"/>
      <w:bookmarkStart w:id="69" w:name="_Toc152045530"/>
      <w:bookmarkStart w:id="70" w:name="_Toc296602421"/>
      <w:bookmarkStart w:id="71" w:name="_Toc246996919"/>
      <w:bookmarkStart w:id="72" w:name="_Toc35424888"/>
      <w:bookmarkStart w:id="73" w:name="_Toc15058847"/>
      <w:bookmarkStart w:id="74" w:name="_Toc35425054"/>
      <w:bookmarkStart w:id="75" w:name="_Toc324404816"/>
      <w:bookmarkStart w:id="76" w:name="_Toc4678"/>
      <w:bookmarkStart w:id="77" w:name="_Toc144974498"/>
      <w:bookmarkStart w:id="78" w:name="_Toc179632547"/>
      <w:bookmarkStart w:id="79" w:name="_Toc152042306"/>
      <w:bookmarkStart w:id="80" w:name="_Toc78803323"/>
      <w:r>
        <w:rPr>
          <w:rFonts w:hint="eastAsia" w:ascii="宋体" w:hAnsi="宋体" w:eastAsia="宋体" w:cs="宋体"/>
          <w:color w:val="auto"/>
          <w:kern w:val="44"/>
          <w:highlight w:val="none"/>
        </w:rPr>
        <w:t>1.1 项目概况</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5A8A10A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1.1.1根据《中华人民共和国招标投标法》《中华人民共和国招标投标法实施条例》等有关法律、法规和规章的规定，本招标项目已具备招标条件，现对本项目施工进行招标。</w:t>
      </w:r>
    </w:p>
    <w:p w14:paraId="02C7F195">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1.1.2 本招标项目招标人：见投标人须知前附表。</w:t>
      </w:r>
    </w:p>
    <w:p w14:paraId="175168C5">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1.1.3 本招标项目招标代理机构：见投标人须知前附表。</w:t>
      </w:r>
    </w:p>
    <w:p w14:paraId="1242FC7B">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1.1.4 本招标项目名称：见投标人须知前附表。</w:t>
      </w:r>
    </w:p>
    <w:p w14:paraId="3D8E07DB">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1.1.5 本招标项目建设地点：见投标人须知前附表。</w:t>
      </w:r>
    </w:p>
    <w:p w14:paraId="09E7A798">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81" w:name="_Toc7142"/>
      <w:bookmarkStart w:id="82" w:name="_Toc296602422"/>
      <w:bookmarkStart w:id="83" w:name="_Toc179632548"/>
      <w:bookmarkStart w:id="84" w:name="_Toc246996920"/>
      <w:bookmarkStart w:id="85" w:name="_Toc506107271"/>
      <w:bookmarkStart w:id="86" w:name="_Toc144974499"/>
      <w:bookmarkStart w:id="87" w:name="_Toc152045531"/>
      <w:bookmarkStart w:id="88" w:name="_Toc35425055"/>
      <w:bookmarkStart w:id="89" w:name="_Toc35424889"/>
      <w:bookmarkStart w:id="90" w:name="_Toc78803324"/>
      <w:bookmarkStart w:id="91" w:name="_Toc247085691"/>
      <w:bookmarkStart w:id="92" w:name="_Toc324404817"/>
      <w:bookmarkStart w:id="93" w:name="_Toc246996177"/>
      <w:bookmarkStart w:id="94" w:name="_Toc152042307"/>
      <w:bookmarkStart w:id="95" w:name="_Toc15058848"/>
      <w:r>
        <w:rPr>
          <w:rFonts w:hint="eastAsia" w:ascii="宋体" w:hAnsi="宋体" w:eastAsia="宋体" w:cs="宋体"/>
          <w:color w:val="auto"/>
          <w:highlight w:val="none"/>
        </w:rPr>
        <w:t>1.2 资金来源和落实情况</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4C6BD83">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1.2.1 本招标项目的资金来源及出资比例：见投标人须知前附表。</w:t>
      </w:r>
    </w:p>
    <w:p w14:paraId="373DD181">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1.2.2 本招标项目的资金落实情况：见投标人须知前附表。</w:t>
      </w:r>
    </w:p>
    <w:p w14:paraId="2592236A">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96" w:name="_Toc144974500"/>
      <w:bookmarkStart w:id="97" w:name="_Toc6330"/>
      <w:bookmarkStart w:id="98" w:name="_Toc179632549"/>
      <w:bookmarkStart w:id="99" w:name="_Toc35424890"/>
      <w:bookmarkStart w:id="100" w:name="_Toc246996921"/>
      <w:bookmarkStart w:id="101" w:name="_Toc15058849"/>
      <w:bookmarkStart w:id="102" w:name="_Toc324404818"/>
      <w:bookmarkStart w:id="103" w:name="_Toc152045532"/>
      <w:bookmarkStart w:id="104" w:name="_Toc35425056"/>
      <w:bookmarkStart w:id="105" w:name="_Toc506107272"/>
      <w:bookmarkStart w:id="106" w:name="_Toc78803325"/>
      <w:bookmarkStart w:id="107" w:name="_Toc152042308"/>
      <w:bookmarkStart w:id="108" w:name="_Toc246996178"/>
      <w:bookmarkStart w:id="109" w:name="_Toc247085692"/>
      <w:bookmarkStart w:id="110" w:name="_Toc296602423"/>
      <w:r>
        <w:rPr>
          <w:rFonts w:hint="eastAsia" w:ascii="宋体" w:hAnsi="宋体" w:eastAsia="宋体" w:cs="宋体"/>
          <w:color w:val="auto"/>
          <w:highlight w:val="none"/>
        </w:rPr>
        <w:t>1.3 招标范围、</w:t>
      </w:r>
      <w:r>
        <w:rPr>
          <w:rFonts w:hint="eastAsia" w:ascii="宋体" w:hAnsi="宋体" w:eastAsia="宋体" w:cs="宋体"/>
          <w:color w:val="auto"/>
          <w:highlight w:val="none"/>
          <w:lang w:val="en-US" w:eastAsia="zh-CN"/>
        </w:rPr>
        <w:t>工期</w:t>
      </w:r>
      <w:r>
        <w:rPr>
          <w:rFonts w:hint="eastAsia" w:ascii="宋体" w:hAnsi="宋体" w:eastAsia="宋体" w:cs="宋体"/>
          <w:color w:val="auto"/>
          <w:highlight w:val="none"/>
        </w:rPr>
        <w:t>、质量要求</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00EC76B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1.3.1 本次招标范围：见投标人须知前附表。</w:t>
      </w:r>
    </w:p>
    <w:p w14:paraId="3D0015E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1.3.2 本招标项目的</w:t>
      </w:r>
      <w:r>
        <w:rPr>
          <w:rFonts w:hint="eastAsia" w:ascii="宋体" w:hAnsi="宋体" w:cs="宋体"/>
          <w:color w:val="auto"/>
          <w:szCs w:val="21"/>
          <w:highlight w:val="none"/>
          <w:lang w:val="en-US" w:eastAsia="zh-CN"/>
        </w:rPr>
        <w:t>工期</w:t>
      </w:r>
      <w:r>
        <w:rPr>
          <w:rFonts w:hint="eastAsia" w:ascii="宋体" w:hAnsi="宋体" w:cs="宋体"/>
          <w:color w:val="auto"/>
          <w:szCs w:val="21"/>
          <w:highlight w:val="none"/>
        </w:rPr>
        <w:t>：见投标人须知前附表。</w:t>
      </w:r>
    </w:p>
    <w:p w14:paraId="723ECF1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1.3.3 本招标项目的质量要求：见投标人须知前附表。</w:t>
      </w:r>
    </w:p>
    <w:p w14:paraId="62F4DDBF">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11" w:name="_Toc324404819"/>
      <w:bookmarkStart w:id="112" w:name="_Toc152042310"/>
      <w:bookmarkStart w:id="113" w:name="_Toc246996922"/>
      <w:bookmarkStart w:id="114" w:name="_Toc152045534"/>
      <w:bookmarkStart w:id="115" w:name="_Toc78803326"/>
      <w:bookmarkStart w:id="116" w:name="_Toc15058850"/>
      <w:bookmarkStart w:id="117" w:name="_Toc247085693"/>
      <w:bookmarkStart w:id="118" w:name="_Toc26897"/>
      <w:bookmarkStart w:id="119" w:name="_Toc144974502"/>
      <w:bookmarkStart w:id="120" w:name="_Toc179632551"/>
      <w:bookmarkStart w:id="121" w:name="_Toc35424891"/>
      <w:bookmarkStart w:id="122" w:name="_Toc506107273"/>
      <w:bookmarkStart w:id="123" w:name="_Toc246996179"/>
      <w:bookmarkStart w:id="124" w:name="_Toc35425057"/>
      <w:bookmarkStart w:id="125" w:name="_Toc296602424"/>
      <w:r>
        <w:rPr>
          <w:rFonts w:hint="eastAsia" w:ascii="宋体" w:hAnsi="宋体" w:eastAsia="宋体" w:cs="宋体"/>
          <w:color w:val="auto"/>
          <w:highlight w:val="none"/>
        </w:rPr>
        <w:t>1.4 投标人资格要求</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03808A21">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1.4.1 投标人应具备承担本项目</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的资质条件、能力和信誉。</w:t>
      </w:r>
    </w:p>
    <w:p w14:paraId="24FF60AC">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（1）资质条件：见投标人须知前附表；</w:t>
      </w:r>
    </w:p>
    <w:p w14:paraId="3D1D9B82">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（2）项目</w:t>
      </w:r>
      <w:r>
        <w:rPr>
          <w:rFonts w:hint="eastAsia" w:ascii="宋体" w:hAnsi="宋体" w:cs="宋体"/>
          <w:color w:val="auto"/>
          <w:szCs w:val="21"/>
          <w:highlight w:val="none"/>
          <w:lang w:val="en-US" w:eastAsia="zh-CN"/>
        </w:rPr>
        <w:t>经理</w:t>
      </w:r>
      <w:r>
        <w:rPr>
          <w:rFonts w:hint="eastAsia" w:ascii="宋体" w:hAnsi="宋体" w:cs="宋体"/>
          <w:color w:val="auto"/>
          <w:szCs w:val="21"/>
          <w:highlight w:val="none"/>
        </w:rPr>
        <w:t>资格：见投标人须知前附表；</w:t>
      </w:r>
    </w:p>
    <w:p w14:paraId="4AD897A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（3）信誉要求：见投标人须知前附表；</w:t>
      </w:r>
    </w:p>
    <w:p w14:paraId="7E29362C">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）其他要求：见投标人须知前附表。</w:t>
      </w:r>
    </w:p>
    <w:p w14:paraId="6AB64CF0">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1.4.2 投标人不得存在下列情形之一：</w:t>
      </w:r>
    </w:p>
    <w:p w14:paraId="6048E025">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（1）为招标人不具有独立法人资格的附属机构（单位）；</w:t>
      </w:r>
    </w:p>
    <w:p w14:paraId="623529E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（2）与招标人存在利害关系且可能影响招标公正性；</w:t>
      </w:r>
    </w:p>
    <w:p w14:paraId="4F6A068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（3）与本标段的其他投标人同为一个单位负责人；</w:t>
      </w:r>
    </w:p>
    <w:p w14:paraId="00E0631A">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（4）与本标段的其他投标人存在控股、管理关系；</w:t>
      </w:r>
    </w:p>
    <w:p w14:paraId="002B223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（5）为本标段前期准备提供设计或咨询服务的法人或其任何附属机构（单位）；</w:t>
      </w:r>
    </w:p>
    <w:p w14:paraId="5301E19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（6）为本标段的</w:t>
      </w:r>
      <w:r>
        <w:rPr>
          <w:rFonts w:hint="eastAsia" w:ascii="宋体" w:hAnsi="宋体" w:cs="宋体"/>
          <w:color w:val="auto"/>
          <w:szCs w:val="21"/>
          <w:highlight w:val="none"/>
          <w:lang w:eastAsia="zh-CN"/>
        </w:rPr>
        <w:t>发包人</w:t>
      </w:r>
      <w:r>
        <w:rPr>
          <w:rFonts w:hint="eastAsia" w:ascii="宋体" w:hAnsi="宋体" w:cs="宋体"/>
          <w:color w:val="auto"/>
          <w:szCs w:val="21"/>
          <w:highlight w:val="none"/>
        </w:rPr>
        <w:t>；</w:t>
      </w:r>
    </w:p>
    <w:p w14:paraId="45A5B8FE">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（7）为本标段的代建人；</w:t>
      </w:r>
    </w:p>
    <w:p w14:paraId="3D5C44B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（8）为本标段的招标代理机构；</w:t>
      </w:r>
    </w:p>
    <w:p w14:paraId="4F2469C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（9）与本标段的</w:t>
      </w:r>
      <w:r>
        <w:rPr>
          <w:rFonts w:hint="eastAsia" w:ascii="宋体" w:hAnsi="宋体" w:cs="宋体"/>
          <w:color w:val="auto"/>
          <w:szCs w:val="21"/>
          <w:highlight w:val="none"/>
          <w:lang w:eastAsia="zh-CN"/>
        </w:rPr>
        <w:t>发包人</w:t>
      </w:r>
      <w:r>
        <w:rPr>
          <w:rFonts w:hint="eastAsia" w:ascii="宋体" w:hAnsi="宋体" w:cs="宋体"/>
          <w:color w:val="auto"/>
          <w:szCs w:val="21"/>
          <w:highlight w:val="none"/>
        </w:rPr>
        <w:t>或代建人或招标代理机构同为一个法定代表人；</w:t>
      </w:r>
    </w:p>
    <w:p w14:paraId="21DDF52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（10）与本标段的</w:t>
      </w:r>
      <w:r>
        <w:rPr>
          <w:rFonts w:hint="eastAsia" w:ascii="宋体" w:hAnsi="宋体" w:cs="宋体"/>
          <w:color w:val="auto"/>
          <w:szCs w:val="21"/>
          <w:highlight w:val="none"/>
          <w:lang w:eastAsia="zh-CN"/>
        </w:rPr>
        <w:t>发包人</w:t>
      </w:r>
      <w:r>
        <w:rPr>
          <w:rFonts w:hint="eastAsia" w:ascii="宋体" w:hAnsi="宋体" w:cs="宋体"/>
          <w:color w:val="auto"/>
          <w:szCs w:val="21"/>
          <w:highlight w:val="none"/>
        </w:rPr>
        <w:t>或代建人或招标代理机构存在控股或参股关系；</w:t>
      </w:r>
    </w:p>
    <w:p w14:paraId="111AA22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（11）法律法规或投标人须知前附表规定的其他情形。</w:t>
      </w:r>
    </w:p>
    <w:p w14:paraId="41946C8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1.4.3 单位负责人为同一人或者存在控股、管理关系的不同单位，不得同时参加本招标项目投标。</w:t>
      </w:r>
    </w:p>
    <w:p w14:paraId="4BC6C2B0">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26" w:name="_Toc324404820"/>
      <w:bookmarkStart w:id="127" w:name="_Toc247085694"/>
      <w:bookmarkStart w:id="128" w:name="_Toc15058851"/>
      <w:bookmarkStart w:id="129" w:name="_Toc506107274"/>
      <w:bookmarkStart w:id="130" w:name="_Toc78803327"/>
      <w:bookmarkStart w:id="131" w:name="_Toc296602425"/>
      <w:bookmarkStart w:id="132" w:name="_Toc35425058"/>
      <w:bookmarkStart w:id="133" w:name="_Toc246996180"/>
      <w:bookmarkStart w:id="134" w:name="_Toc152045535"/>
      <w:bookmarkStart w:id="135" w:name="_Toc152042311"/>
      <w:bookmarkStart w:id="136" w:name="_Toc10179"/>
      <w:bookmarkStart w:id="137" w:name="_Toc246996923"/>
      <w:bookmarkStart w:id="138" w:name="_Toc144974503"/>
      <w:bookmarkStart w:id="139" w:name="_Toc35424892"/>
      <w:bookmarkStart w:id="140" w:name="_Toc179632552"/>
      <w:r>
        <w:rPr>
          <w:rFonts w:hint="eastAsia" w:ascii="宋体" w:hAnsi="宋体" w:eastAsia="宋体" w:cs="宋体"/>
          <w:color w:val="auto"/>
          <w:highlight w:val="none"/>
        </w:rPr>
        <w:t>1.5 费用承担</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4A0E6571">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14:paraId="40BDE53B">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41" w:name="_Toc4092"/>
      <w:bookmarkStart w:id="142" w:name="_Toc144974504"/>
      <w:bookmarkStart w:id="143" w:name="_Toc246996181"/>
      <w:bookmarkStart w:id="144" w:name="_Toc15058852"/>
      <w:bookmarkStart w:id="145" w:name="_Toc247085695"/>
      <w:bookmarkStart w:id="146" w:name="_Toc78803328"/>
      <w:bookmarkStart w:id="147" w:name="_Toc179632553"/>
      <w:bookmarkStart w:id="148" w:name="_Toc152045536"/>
      <w:bookmarkStart w:id="149" w:name="_Toc296602426"/>
      <w:bookmarkStart w:id="150" w:name="_Toc506107275"/>
      <w:bookmarkStart w:id="151" w:name="_Toc35424893"/>
      <w:bookmarkStart w:id="152" w:name="_Toc152042312"/>
      <w:bookmarkStart w:id="153" w:name="_Toc35425059"/>
      <w:bookmarkStart w:id="154" w:name="_Toc324404821"/>
      <w:bookmarkStart w:id="155" w:name="_Toc246996924"/>
      <w:r>
        <w:rPr>
          <w:rFonts w:hint="eastAsia" w:ascii="宋体" w:hAnsi="宋体" w:eastAsia="宋体" w:cs="宋体"/>
          <w:color w:val="auto"/>
          <w:highlight w:val="none"/>
        </w:rPr>
        <w:t>1.6 保密</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406A465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参与招标投标活动的各方应对招标文件和投标文件中的商业和技术等秘密保密，违者应对由此造成的后果承担法律责任。 </w:t>
      </w:r>
    </w:p>
    <w:p w14:paraId="416FA317">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56" w:name="_Toc144974505"/>
      <w:bookmarkStart w:id="157" w:name="_Toc506107276"/>
      <w:bookmarkStart w:id="158" w:name="_Toc78803329"/>
      <w:bookmarkStart w:id="159" w:name="_Toc324404822"/>
      <w:bookmarkStart w:id="160" w:name="_Toc152042313"/>
      <w:bookmarkStart w:id="161" w:name="_Toc179632554"/>
      <w:bookmarkStart w:id="162" w:name="_Toc296602427"/>
      <w:bookmarkStart w:id="163" w:name="_Toc4119"/>
      <w:bookmarkStart w:id="164" w:name="_Toc35424894"/>
      <w:bookmarkStart w:id="165" w:name="_Toc152045537"/>
      <w:bookmarkStart w:id="166" w:name="_Toc15058853"/>
      <w:bookmarkStart w:id="167" w:name="_Toc246996182"/>
      <w:bookmarkStart w:id="168" w:name="_Toc247085696"/>
      <w:bookmarkStart w:id="169" w:name="_Toc35425060"/>
      <w:bookmarkStart w:id="170" w:name="_Toc246996925"/>
      <w:r>
        <w:rPr>
          <w:rFonts w:hint="eastAsia" w:ascii="宋体" w:hAnsi="宋体" w:eastAsia="宋体" w:cs="宋体"/>
          <w:color w:val="auto"/>
          <w:highlight w:val="none"/>
        </w:rPr>
        <w:t>1.7 语言</w:t>
      </w:r>
      <w:bookmarkEnd w:id="156"/>
      <w:r>
        <w:rPr>
          <w:rFonts w:hint="eastAsia" w:ascii="宋体" w:hAnsi="宋体" w:eastAsia="宋体" w:cs="宋体"/>
          <w:color w:val="auto"/>
          <w:highlight w:val="none"/>
        </w:rPr>
        <w:t>文字</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67969EA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bookmarkStart w:id="171" w:name="_Toc152042314"/>
      <w:bookmarkStart w:id="172" w:name="_Toc179632555"/>
      <w:bookmarkStart w:id="173" w:name="_Toc144974506"/>
      <w:bookmarkStart w:id="174" w:name="_Toc247085697"/>
      <w:bookmarkStart w:id="175" w:name="_Toc246996926"/>
      <w:bookmarkStart w:id="176" w:name="_Toc246996183"/>
      <w:bookmarkStart w:id="177" w:name="_Toc152045538"/>
      <w:r>
        <w:rPr>
          <w:rFonts w:hint="eastAsia" w:ascii="宋体" w:hAnsi="宋体" w:cs="宋体"/>
          <w:color w:val="auto"/>
          <w:szCs w:val="21"/>
          <w:highlight w:val="none"/>
        </w:rPr>
        <w:t>招标投标文件使用的语言文字为中文。专用术语使用外文的，应附有中文注释。</w:t>
      </w:r>
    </w:p>
    <w:p w14:paraId="32BE040E">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78" w:name="_Toc296602428"/>
      <w:bookmarkStart w:id="179" w:name="_Toc35425061"/>
      <w:bookmarkStart w:id="180" w:name="_Toc15058854"/>
      <w:bookmarkStart w:id="181" w:name="_Toc13408"/>
      <w:bookmarkStart w:id="182" w:name="_Toc78803330"/>
      <w:bookmarkStart w:id="183" w:name="_Toc35424895"/>
      <w:bookmarkStart w:id="184" w:name="_Toc506107277"/>
      <w:bookmarkStart w:id="185" w:name="_Toc324404823"/>
      <w:r>
        <w:rPr>
          <w:rFonts w:hint="eastAsia" w:ascii="宋体" w:hAnsi="宋体" w:eastAsia="宋体" w:cs="宋体"/>
          <w:color w:val="auto"/>
          <w:highlight w:val="none"/>
        </w:rPr>
        <w:t>1.8 计量单位</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52E05A5">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2CDDED85">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186" w:name="_Toc11493"/>
      <w:bookmarkStart w:id="187" w:name="_Toc324404824"/>
      <w:bookmarkStart w:id="188" w:name="_Toc152045539"/>
      <w:bookmarkStart w:id="189" w:name="_Toc144974507"/>
      <w:bookmarkStart w:id="190" w:name="_Toc152042315"/>
      <w:bookmarkStart w:id="191" w:name="_Toc247527563"/>
      <w:bookmarkStart w:id="192" w:name="_Toc78803331"/>
      <w:bookmarkStart w:id="193" w:name="_Toc247513962"/>
      <w:bookmarkStart w:id="194" w:name="_Toc506107278"/>
      <w:bookmarkStart w:id="195" w:name="_Toc35425062"/>
      <w:bookmarkStart w:id="196" w:name="_Toc15058855"/>
      <w:bookmarkStart w:id="197" w:name="_Toc35424896"/>
      <w:bookmarkStart w:id="198" w:name="_Toc247592876"/>
      <w:bookmarkStart w:id="199" w:name="_Toc296602429"/>
      <w:r>
        <w:rPr>
          <w:rFonts w:hint="eastAsia" w:ascii="宋体" w:hAnsi="宋体" w:eastAsia="宋体" w:cs="宋体"/>
          <w:color w:val="auto"/>
          <w:highlight w:val="none"/>
        </w:rPr>
        <w:t>1.9 踏勘现场</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4824D526">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1.9.1 投标人须知前附表规定组织踏勘现场的，招标人按投标人须知前附表规定的时间、地点组织投标人踏勘项目现场。 </w:t>
      </w:r>
    </w:p>
    <w:p w14:paraId="3400E979">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1.9.2 投标人踏勘现场发生的费用自理。</w:t>
      </w:r>
    </w:p>
    <w:p w14:paraId="37C774C9">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1.9.3 除招标人的原因外，投标人自行负责在踏勘现场中所发生的人员伤亡和财产损失。</w:t>
      </w:r>
    </w:p>
    <w:p w14:paraId="608A1DC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1.9.4 招标人在踏勘现场中介绍的工程场地和相关的周边环境情况，供投标人在编制投标文件时参考，招标人不对投标人据此作出的判断和决策负责。</w:t>
      </w:r>
    </w:p>
    <w:p w14:paraId="71AACDF5">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200" w:name="_Toc15058856"/>
      <w:bookmarkStart w:id="201" w:name="_Toc144974508"/>
      <w:bookmarkStart w:id="202" w:name="_Toc247527564"/>
      <w:bookmarkStart w:id="203" w:name="_Toc22954"/>
      <w:bookmarkStart w:id="204" w:name="_Toc247513963"/>
      <w:bookmarkStart w:id="205" w:name="_Toc152045540"/>
      <w:bookmarkStart w:id="206" w:name="_Toc35425063"/>
      <w:bookmarkStart w:id="207" w:name="_Toc35424897"/>
      <w:bookmarkStart w:id="208" w:name="_Toc247592877"/>
      <w:bookmarkStart w:id="209" w:name="_Toc296602430"/>
      <w:bookmarkStart w:id="210" w:name="_Toc324404825"/>
      <w:bookmarkStart w:id="211" w:name="_Toc506107279"/>
      <w:bookmarkStart w:id="212" w:name="_Toc78803332"/>
      <w:bookmarkStart w:id="213" w:name="_Toc152042316"/>
      <w:r>
        <w:rPr>
          <w:rFonts w:hint="eastAsia" w:ascii="宋体" w:hAnsi="宋体" w:eastAsia="宋体" w:cs="宋体"/>
          <w:color w:val="auto"/>
          <w:highlight w:val="none"/>
        </w:rPr>
        <w:t>1.10 投标预备会</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1F4A4356">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1.10.1投标人须知前附表规定召开投标预备会的，招标人按投标人须知前附表规定的时间和地点召开投标预备会，澄清投标人提出的问题。</w:t>
      </w:r>
    </w:p>
    <w:p w14:paraId="19372174">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1.10.2投标人应在投标人须知前附表规定的时间前，将提出的问题送达招标人，以便招标人澄清。</w:t>
      </w:r>
    </w:p>
    <w:p w14:paraId="166EBEA0">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1.10.3招标人在投标人须知前附表规定的时间，将对投标人所提的问题进行澄清。该澄清内容为招标文件的组成部分。</w:t>
      </w:r>
    </w:p>
    <w:p w14:paraId="29D1FE60">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214" w:name="_Toc15058857"/>
      <w:bookmarkStart w:id="215" w:name="_Toc324404826"/>
      <w:bookmarkStart w:id="216" w:name="_Toc296602431"/>
      <w:bookmarkStart w:id="217" w:name="_Toc506107280"/>
      <w:bookmarkStart w:id="218" w:name="_Toc95223347"/>
      <w:bookmarkStart w:id="219" w:name="_Toc83301699"/>
      <w:bookmarkStart w:id="220" w:name="_Toc60061444"/>
      <w:bookmarkStart w:id="221" w:name="_Toc35424899"/>
      <w:bookmarkStart w:id="222" w:name="_Toc144974510"/>
      <w:bookmarkStart w:id="223" w:name="_Toc152042318"/>
      <w:bookmarkStart w:id="224" w:name="_Toc152045542"/>
      <w:bookmarkStart w:id="225" w:name="_Toc4012"/>
      <w:bookmarkStart w:id="226" w:name="_Toc246996930"/>
      <w:bookmarkStart w:id="227" w:name="_Toc247085701"/>
      <w:bookmarkStart w:id="228" w:name="_Toc35425065"/>
      <w:bookmarkStart w:id="229" w:name="_Toc179632560"/>
      <w:bookmarkStart w:id="230" w:name="_Toc506107281"/>
      <w:bookmarkStart w:id="231" w:name="_Toc15058858"/>
      <w:bookmarkStart w:id="232" w:name="_Toc246996187"/>
      <w:bookmarkStart w:id="233" w:name="_Toc324404827"/>
      <w:bookmarkStart w:id="234" w:name="_Toc78803334"/>
      <w:r>
        <w:rPr>
          <w:rFonts w:hint="eastAsia" w:ascii="宋体" w:hAnsi="宋体" w:eastAsia="宋体" w:cs="宋体"/>
          <w:color w:val="auto"/>
          <w:highlight w:val="none"/>
        </w:rPr>
        <w:t xml:space="preserve">1.11 </w:t>
      </w:r>
      <w:bookmarkEnd w:id="214"/>
      <w:bookmarkEnd w:id="215"/>
      <w:bookmarkEnd w:id="216"/>
      <w:bookmarkEnd w:id="217"/>
      <w:r>
        <w:rPr>
          <w:rFonts w:hint="eastAsia" w:ascii="宋体" w:hAnsi="宋体" w:eastAsia="宋体" w:cs="宋体"/>
          <w:color w:val="auto"/>
          <w:highlight w:val="none"/>
        </w:rPr>
        <w:t>分包</w:t>
      </w:r>
      <w:bookmarkEnd w:id="218"/>
      <w:bookmarkEnd w:id="219"/>
      <w:bookmarkEnd w:id="220"/>
    </w:p>
    <w:p w14:paraId="1C2ED910">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1.11.1 投标人拟在中标后将中标项目的部分非主体、非关键性工作进行分包的，应符合以下规定：</w:t>
      </w:r>
    </w:p>
    <w:p w14:paraId="79C10CA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（1）分包内容要求：招标人允许分包或不允许分包的专业工程（如有）应在投标人须知前附表中载明；</w:t>
      </w:r>
    </w:p>
    <w:p w14:paraId="79B1134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（2）接受分包的第三人资格要求：分包人的资格能力应与其分包工程的标准和规模相适应，且具备投标人须知前附表中规定的资格条件；</w:t>
      </w:r>
    </w:p>
    <w:p w14:paraId="682A8BA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（3）其他要求：</w:t>
      </w:r>
      <w:r>
        <w:rPr>
          <w:rFonts w:hint="eastAsia" w:ascii="宋体" w:hAnsi="宋体" w:cs="宋体"/>
          <w:color w:val="auto"/>
          <w:szCs w:val="21"/>
          <w:highlight w:val="none"/>
          <w:lang w:val="en-US" w:eastAsia="zh-CN"/>
        </w:rPr>
        <w:t>无。</w:t>
      </w:r>
    </w:p>
    <w:p w14:paraId="72DC977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1.11.2中标人不得向他人转让中标项目，接受分包的人不得再次分包。中标人应就分包项目向招标人负责，接受分包的人就分包项目承担连带责任。</w:t>
      </w:r>
    </w:p>
    <w:p w14:paraId="68ADCF22">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235" w:name="_Toc83301700"/>
      <w:bookmarkStart w:id="236" w:name="_Toc95223348"/>
      <w:bookmarkStart w:id="237" w:name="_Toc60061445"/>
      <w:r>
        <w:rPr>
          <w:rFonts w:hint="eastAsia" w:ascii="宋体" w:hAnsi="宋体" w:eastAsia="宋体" w:cs="宋体"/>
          <w:color w:val="auto"/>
          <w:highlight w:val="none"/>
        </w:rPr>
        <w:t>1.12 偏离</w:t>
      </w:r>
      <w:bookmarkEnd w:id="235"/>
      <w:bookmarkEnd w:id="236"/>
      <w:bookmarkEnd w:id="237"/>
    </w:p>
    <w:p w14:paraId="6AC9972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1.12.1投标文件偏离招标文件某些要求，视为投标文件存在偏差。偏差包括重大偏差和细微偏差。</w:t>
      </w:r>
    </w:p>
    <w:p w14:paraId="4F53D58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1.12.2投标文件应对招标文件的实质性要求和条件作出满足性或更有利于招标人的响应，否则，视为投标文件存在重大偏差，投标人的投标将被否决。</w:t>
      </w:r>
    </w:p>
    <w:p w14:paraId="2AFC0F6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投标文件存在第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章“评标办法”中所列任一无效投标情形的，均属于存在重大偏差。</w:t>
      </w:r>
    </w:p>
    <w:p w14:paraId="3D0622E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1.12.3投标文件中的下列偏差为细微偏差：</w:t>
      </w:r>
    </w:p>
    <w:p w14:paraId="747FCCD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（1）在按照第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章“评标办法”的规定对投标价进行算术性错误修正及其他错误修正后，最终投标报价未超过最高投标限价（如有）或未被否决投标的情况下，出现第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章“评标办法”规定的算术性错误和投标报价的其他错误；</w:t>
      </w:r>
    </w:p>
    <w:p w14:paraId="63E877C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03C13F0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1.12.4评标委员会对投标文件中的细微偏差按如下规定处理：</w:t>
      </w:r>
    </w:p>
    <w:p w14:paraId="587CB98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对于本章第 1.12.3 项（1）目所述的细微偏差，按照第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章“评标办法”的规定予以修正并要求投标人进行澄清；</w:t>
      </w:r>
    </w:p>
    <w:p w14:paraId="42119073">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对于本章第 1.12.3 项（2）目所述的细微偏差，可要求投标人对细微偏差进行澄清。</w:t>
      </w:r>
    </w:p>
    <w:p w14:paraId="7AD4D020">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招标文件</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1617D227">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238" w:name="_Toc152045543"/>
      <w:bookmarkStart w:id="239" w:name="_Toc78803335"/>
      <w:bookmarkStart w:id="240" w:name="_Toc324404828"/>
      <w:bookmarkStart w:id="241" w:name="_Toc15058859"/>
      <w:bookmarkStart w:id="242" w:name="_Toc179632561"/>
      <w:bookmarkStart w:id="243" w:name="_Toc35425066"/>
      <w:bookmarkStart w:id="244" w:name="_Toc13213"/>
      <w:bookmarkStart w:id="245" w:name="_Toc246996931"/>
      <w:bookmarkStart w:id="246" w:name="_Toc247085702"/>
      <w:bookmarkStart w:id="247" w:name="_Toc35424900"/>
      <w:bookmarkStart w:id="248" w:name="_Toc246996188"/>
      <w:bookmarkStart w:id="249" w:name="_Toc296602433"/>
      <w:bookmarkStart w:id="250" w:name="_Toc506107282"/>
      <w:bookmarkStart w:id="251" w:name="_Toc144974511"/>
      <w:bookmarkStart w:id="252" w:name="_Toc152042319"/>
      <w:r>
        <w:rPr>
          <w:rFonts w:hint="eastAsia" w:ascii="宋体" w:hAnsi="宋体" w:eastAsia="宋体" w:cs="宋体"/>
          <w:color w:val="auto"/>
          <w:highlight w:val="none"/>
        </w:rPr>
        <w:t>2.1 招标文件的组成</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40CEAFFC">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2.1.1 本招标文件包括：</w:t>
      </w:r>
    </w:p>
    <w:p w14:paraId="42D2F2F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（1）招标公告；</w:t>
      </w:r>
    </w:p>
    <w:p w14:paraId="5902BE93">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（2）投标人须知；</w:t>
      </w:r>
    </w:p>
    <w:p w14:paraId="16B1B42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（3）资格审查办法</w:t>
      </w:r>
    </w:p>
    <w:p w14:paraId="6F91010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（4）评标办法；</w:t>
      </w:r>
    </w:p>
    <w:p w14:paraId="7B5ABAB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（5）合同条款及格式；</w:t>
      </w:r>
    </w:p>
    <w:p w14:paraId="6A9F5163">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（6）工程量清单； </w:t>
      </w:r>
    </w:p>
    <w:p w14:paraId="72D9E735">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（7）图纸；</w:t>
      </w:r>
    </w:p>
    <w:p w14:paraId="6F368A3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技术标准和要求</w:t>
      </w:r>
      <w:r>
        <w:rPr>
          <w:rFonts w:hint="eastAsia" w:ascii="宋体" w:hAnsi="宋体" w:cs="宋体"/>
          <w:color w:val="auto"/>
          <w:szCs w:val="21"/>
          <w:highlight w:val="none"/>
          <w:lang w:val="en-US" w:eastAsia="zh-CN"/>
        </w:rPr>
        <w:t>；</w:t>
      </w:r>
    </w:p>
    <w:p w14:paraId="043FA20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）投标文件格式；</w:t>
      </w:r>
    </w:p>
    <w:p w14:paraId="29C1FDE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）投标人须知前附表规定的其他材料。</w:t>
      </w:r>
    </w:p>
    <w:p w14:paraId="2A7E5CD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2.1.2 根据本章第1.10款、第2.2款和第2.3款对招标文件所作的澄清、修改，构成招标文件的组成部分。</w:t>
      </w:r>
    </w:p>
    <w:p w14:paraId="5AF466DE">
      <w:pPr>
        <w:pStyle w:val="20"/>
        <w:pageBreakBefore w:val="0"/>
        <w:widowControl w:val="0"/>
        <w:kinsoku/>
        <w:wordWrap/>
        <w:overflowPunct/>
        <w:topLinePunct w:val="0"/>
        <w:autoSpaceDE/>
        <w:autoSpaceDN/>
        <w:bidi w:val="0"/>
        <w:adjustRightInd w:val="0"/>
        <w:snapToGrid w:val="0"/>
        <w:spacing w:after="0" w:line="420" w:lineRule="exact"/>
        <w:ind w:firstLine="420" w:firstLineChars="200"/>
        <w:textAlignment w:val="auto"/>
        <w:rPr>
          <w:color w:val="auto"/>
          <w:highlight w:val="none"/>
        </w:rPr>
      </w:pPr>
      <w:r>
        <w:rPr>
          <w:rFonts w:hint="eastAsia" w:ascii="宋体" w:hAnsi="宋体" w:cs="宋体"/>
          <w:color w:val="auto"/>
          <w:szCs w:val="21"/>
          <w:highlight w:val="none"/>
        </w:rPr>
        <w:t>2.1.3当招标文件、招标文件的澄清或修改等在同一内容的表述上不一致时，以最后发出的文件为准。</w:t>
      </w:r>
    </w:p>
    <w:p w14:paraId="2918C0BF">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lang w:eastAsia="zh-CN"/>
        </w:rPr>
      </w:pPr>
      <w:bookmarkStart w:id="253" w:name="_Toc246996189"/>
      <w:bookmarkStart w:id="254" w:name="_Toc324404829"/>
      <w:bookmarkStart w:id="255" w:name="_Toc15058860"/>
      <w:bookmarkStart w:id="256" w:name="_Toc152042320"/>
      <w:bookmarkStart w:id="257" w:name="_Toc179632562"/>
      <w:bookmarkStart w:id="258" w:name="_Toc152045544"/>
      <w:bookmarkStart w:id="259" w:name="_Toc247085703"/>
      <w:bookmarkStart w:id="260" w:name="_Toc296602434"/>
      <w:bookmarkStart w:id="261" w:name="_Toc144974512"/>
      <w:bookmarkStart w:id="262" w:name="_Toc32239"/>
      <w:bookmarkStart w:id="263" w:name="_Toc506107283"/>
      <w:bookmarkStart w:id="264" w:name="_Toc35424901"/>
      <w:bookmarkStart w:id="265" w:name="_Toc246996932"/>
      <w:bookmarkStart w:id="266" w:name="_Toc78803336"/>
      <w:bookmarkStart w:id="267" w:name="_Toc35425067"/>
      <w:r>
        <w:rPr>
          <w:rFonts w:hint="eastAsia" w:ascii="宋体" w:hAnsi="宋体" w:eastAsia="宋体" w:cs="宋体"/>
          <w:color w:val="auto"/>
          <w:highlight w:val="none"/>
        </w:rPr>
        <w:t>2.2 招标文件的</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Fonts w:hint="eastAsia" w:ascii="宋体" w:hAnsi="宋体" w:eastAsia="宋体" w:cs="宋体"/>
          <w:color w:val="auto"/>
          <w:highlight w:val="none"/>
          <w:lang w:val="en-US" w:eastAsia="zh-CN"/>
        </w:rPr>
        <w:t>异议</w:t>
      </w:r>
    </w:p>
    <w:p w14:paraId="06C3224B">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eastAsia="宋体" w:cs="宋体"/>
          <w:color w:val="auto"/>
          <w:szCs w:val="21"/>
          <w:highlight w:val="none"/>
        </w:rPr>
        <w:t>投标人或其他利害关系人投标人应仔细阅读和检查招标文件的全部内容，对招标文件有异议的，应在投标人须知前附表规定的</w:t>
      </w:r>
      <w:r>
        <w:rPr>
          <w:rFonts w:hint="eastAsia" w:ascii="宋体" w:hAnsi="宋体" w:eastAsia="宋体" w:cs="宋体"/>
          <w:color w:val="auto"/>
          <w:szCs w:val="21"/>
          <w:highlight w:val="none"/>
          <w:lang w:val="en-US" w:eastAsia="zh-CN"/>
        </w:rPr>
        <w:t>时间前以</w:t>
      </w:r>
      <w:r>
        <w:rPr>
          <w:rFonts w:hint="eastAsia" w:ascii="宋体" w:hAnsi="宋体" w:eastAsia="宋体" w:cs="宋体"/>
          <w:color w:val="auto"/>
          <w:szCs w:val="21"/>
          <w:highlight w:val="none"/>
        </w:rPr>
        <w:t>网上留言或书面形式提出。招标人将在</w:t>
      </w:r>
      <w:r>
        <w:rPr>
          <w:rFonts w:hint="eastAsia" w:ascii="宋体" w:hAnsi="宋体" w:cs="宋体"/>
          <w:color w:val="auto"/>
          <w:szCs w:val="21"/>
          <w:highlight w:val="none"/>
          <w:lang w:eastAsia="zh-CN"/>
        </w:rPr>
        <w:t>“滁州市城投工程咨询管理有限公司”（https://www.czctgczx.com/）</w:t>
      </w:r>
      <w:r>
        <w:rPr>
          <w:rFonts w:hint="eastAsia" w:ascii="宋体" w:hAnsi="宋体" w:cs="宋体"/>
          <w:color w:val="auto"/>
          <w:szCs w:val="21"/>
          <w:highlight w:val="none"/>
          <w:lang w:val="en-US" w:eastAsia="zh-CN"/>
        </w:rPr>
        <w:t>网</w:t>
      </w:r>
      <w:r>
        <w:rPr>
          <w:rFonts w:hint="eastAsia" w:ascii="宋体" w:hAnsi="宋体" w:cs="宋体"/>
          <w:color w:val="auto"/>
          <w:szCs w:val="21"/>
          <w:highlight w:val="none"/>
        </w:rPr>
        <w:t xml:space="preserve">发布，但不指明澄清问题的来源。 </w:t>
      </w:r>
    </w:p>
    <w:p w14:paraId="159D9C20">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lang w:eastAsia="zh-CN"/>
        </w:rPr>
      </w:pPr>
      <w:bookmarkStart w:id="268" w:name="_Toc35425068"/>
      <w:bookmarkStart w:id="269" w:name="_Toc144974513"/>
      <w:bookmarkStart w:id="270" w:name="_Toc15058861"/>
      <w:bookmarkStart w:id="271" w:name="_Toc179632563"/>
      <w:bookmarkStart w:id="272" w:name="_Toc247085704"/>
      <w:bookmarkStart w:id="273" w:name="_Toc246996933"/>
      <w:bookmarkStart w:id="274" w:name="_Toc296602435"/>
      <w:bookmarkStart w:id="275" w:name="_Toc24633"/>
      <w:bookmarkStart w:id="276" w:name="_Toc324404830"/>
      <w:bookmarkStart w:id="277" w:name="_Toc35424902"/>
      <w:bookmarkStart w:id="278" w:name="_Toc152045545"/>
      <w:bookmarkStart w:id="279" w:name="_Toc152042321"/>
      <w:bookmarkStart w:id="280" w:name="_Toc78803337"/>
      <w:bookmarkStart w:id="281" w:name="_Toc246996190"/>
      <w:bookmarkStart w:id="282" w:name="_Toc506107284"/>
      <w:r>
        <w:rPr>
          <w:rFonts w:hint="eastAsia" w:ascii="宋体" w:hAnsi="宋体" w:eastAsia="宋体" w:cs="宋体"/>
          <w:color w:val="auto"/>
          <w:highlight w:val="none"/>
        </w:rPr>
        <w:t>2.3 招标文件的</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rFonts w:hint="eastAsia" w:ascii="宋体" w:hAnsi="宋体" w:eastAsia="宋体" w:cs="宋体"/>
          <w:color w:val="auto"/>
          <w:highlight w:val="none"/>
          <w:lang w:val="en-US" w:eastAsia="zh-CN"/>
        </w:rPr>
        <w:t>澄清</w:t>
      </w:r>
    </w:p>
    <w:p w14:paraId="7AAF5301">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pacing w:val="0"/>
          <w:sz w:val="21"/>
          <w:szCs w:val="21"/>
          <w:highlight w:val="none"/>
        </w:rPr>
      </w:pPr>
      <w:r>
        <w:rPr>
          <w:rFonts w:hint="eastAsia" w:ascii="宋体" w:hAnsi="宋体" w:cs="宋体"/>
          <w:color w:val="auto"/>
          <w:spacing w:val="0"/>
          <w:sz w:val="21"/>
          <w:szCs w:val="21"/>
          <w:highlight w:val="none"/>
        </w:rPr>
        <w:t>招标人可以澄清招标文件，并以投标人须知前附表规定澄清的方式在</w:t>
      </w:r>
      <w:r>
        <w:rPr>
          <w:rFonts w:hint="eastAsia" w:ascii="宋体" w:hAnsi="宋体" w:cs="宋体"/>
          <w:color w:val="auto"/>
          <w:spacing w:val="0"/>
          <w:sz w:val="21"/>
          <w:szCs w:val="21"/>
          <w:highlight w:val="none"/>
          <w:lang w:eastAsia="zh-CN"/>
        </w:rPr>
        <w:t>“滁州市城投工程咨询管理有限公司”（https://www.czctgczx.com/）、安徽省琅琊山旅游发展有限公司等</w:t>
      </w:r>
      <w:r>
        <w:rPr>
          <w:rFonts w:hint="eastAsia"/>
          <w:color w:val="auto"/>
          <w:spacing w:val="0"/>
          <w:sz w:val="21"/>
          <w:highlight w:val="none"/>
        </w:rPr>
        <w:t>网</w:t>
      </w:r>
      <w:r>
        <w:rPr>
          <w:rFonts w:hint="eastAsia"/>
          <w:color w:val="auto"/>
          <w:spacing w:val="0"/>
          <w:sz w:val="21"/>
          <w:highlight w:val="none"/>
          <w:lang w:val="en-US" w:eastAsia="zh-CN"/>
        </w:rPr>
        <w:t>站</w:t>
      </w:r>
      <w:r>
        <w:rPr>
          <w:rFonts w:hint="eastAsia" w:ascii="宋体" w:hAnsi="宋体" w:cs="宋体"/>
          <w:color w:val="auto"/>
          <w:spacing w:val="0"/>
          <w:sz w:val="21"/>
          <w:szCs w:val="21"/>
          <w:highlight w:val="none"/>
        </w:rPr>
        <w:t>发布。但如果修改内容影响投标文件编制的，将相应延长投标截止时间。</w:t>
      </w:r>
    </w:p>
    <w:p w14:paraId="75317E1D">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283" w:name="_Toc246996191"/>
      <w:bookmarkStart w:id="284" w:name="_Toc179632564"/>
      <w:bookmarkStart w:id="285" w:name="_Toc15058863"/>
      <w:bookmarkStart w:id="286" w:name="_Toc246996934"/>
      <w:bookmarkStart w:id="287" w:name="_Toc78803339"/>
      <w:bookmarkStart w:id="288" w:name="_Toc35424904"/>
      <w:bookmarkStart w:id="289" w:name="_Toc506107285"/>
      <w:bookmarkStart w:id="290" w:name="_Toc35425070"/>
      <w:bookmarkStart w:id="291" w:name="_Toc144974514"/>
      <w:bookmarkStart w:id="292" w:name="_Toc6464"/>
      <w:bookmarkStart w:id="293" w:name="_Toc152045546"/>
      <w:bookmarkStart w:id="294" w:name="_Toc152042322"/>
      <w:bookmarkStart w:id="295" w:name="_Toc324404832"/>
      <w:bookmarkStart w:id="296" w:name="_Toc247085705"/>
      <w:r>
        <w:rPr>
          <w:rFonts w:hint="eastAsia" w:ascii="宋体" w:hAnsi="宋体" w:eastAsia="宋体" w:cs="宋体"/>
          <w:color w:val="auto"/>
          <w:sz w:val="24"/>
          <w:szCs w:val="24"/>
          <w:highlight w:val="none"/>
        </w:rPr>
        <w:t>3. 投标文件</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713998A4">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297" w:name="_Toc35424905"/>
      <w:bookmarkStart w:id="298" w:name="_Toc144974515"/>
      <w:bookmarkStart w:id="299" w:name="_Toc15058864"/>
      <w:bookmarkStart w:id="300" w:name="_Toc246996192"/>
      <w:bookmarkStart w:id="301" w:name="_Toc179632565"/>
      <w:bookmarkStart w:id="302" w:name="_Toc506107286"/>
      <w:bookmarkStart w:id="303" w:name="_Toc157"/>
      <w:bookmarkStart w:id="304" w:name="_Toc324404833"/>
      <w:bookmarkStart w:id="305" w:name="_Toc35425071"/>
      <w:bookmarkStart w:id="306" w:name="_Toc78803340"/>
      <w:bookmarkStart w:id="307" w:name="_Toc296602437"/>
      <w:bookmarkStart w:id="308" w:name="_Toc152045547"/>
      <w:bookmarkStart w:id="309" w:name="_Toc247085706"/>
      <w:bookmarkStart w:id="310" w:name="_Toc246996935"/>
      <w:bookmarkStart w:id="311" w:name="_Toc152042323"/>
      <w:r>
        <w:rPr>
          <w:rFonts w:hint="eastAsia" w:ascii="宋体" w:hAnsi="宋体" w:eastAsia="宋体" w:cs="宋体"/>
          <w:color w:val="auto"/>
          <w:highlight w:val="none"/>
        </w:rPr>
        <w:t>3.1 投标文件的组成</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37296B2B">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投标文件的具体组成部分及材料要求详见本招标文件第</w:t>
      </w:r>
      <w:r>
        <w:rPr>
          <w:rFonts w:hint="eastAsia" w:ascii="宋体" w:hAnsi="宋体" w:cs="宋体"/>
          <w:color w:val="auto"/>
          <w:szCs w:val="21"/>
          <w:highlight w:val="none"/>
          <w:lang w:val="en-US" w:eastAsia="zh-CN"/>
        </w:rPr>
        <w:t>八</w:t>
      </w:r>
      <w:r>
        <w:rPr>
          <w:rFonts w:hint="eastAsia" w:ascii="宋体" w:hAnsi="宋体" w:cs="宋体"/>
          <w:color w:val="auto"/>
          <w:szCs w:val="21"/>
          <w:highlight w:val="none"/>
        </w:rPr>
        <w:t>章“投标文件格式”。</w:t>
      </w:r>
    </w:p>
    <w:p w14:paraId="43674CA5">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312" w:name="_Toc144974516"/>
      <w:bookmarkStart w:id="313" w:name="_Toc78803341"/>
      <w:bookmarkStart w:id="314" w:name="_Toc247085707"/>
      <w:bookmarkStart w:id="315" w:name="_Toc506107287"/>
      <w:bookmarkStart w:id="316" w:name="_Toc179632566"/>
      <w:bookmarkStart w:id="317" w:name="_Toc6829"/>
      <w:bookmarkStart w:id="318" w:name="_Toc15058865"/>
      <w:bookmarkStart w:id="319" w:name="_Toc246996193"/>
      <w:bookmarkStart w:id="320" w:name="_Toc324404834"/>
      <w:bookmarkStart w:id="321" w:name="_Toc35424906"/>
      <w:bookmarkStart w:id="322" w:name="_Toc296602438"/>
      <w:bookmarkStart w:id="323" w:name="_Toc152042324"/>
      <w:bookmarkStart w:id="324" w:name="_Toc246996936"/>
      <w:bookmarkStart w:id="325" w:name="_Toc35425072"/>
      <w:bookmarkStart w:id="326" w:name="_Toc152045548"/>
      <w:r>
        <w:rPr>
          <w:rFonts w:hint="eastAsia" w:ascii="宋体" w:hAnsi="宋体" w:eastAsia="宋体" w:cs="宋体"/>
          <w:color w:val="auto"/>
          <w:highlight w:val="none"/>
        </w:rPr>
        <w:t>3.2 投标报价</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16F1D4E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bookmarkStart w:id="327" w:name="_Toc31735"/>
      <w:bookmarkStart w:id="328" w:name="_Toc506107288"/>
      <w:bookmarkStart w:id="329" w:name="_Toc296602439"/>
      <w:bookmarkStart w:id="330" w:name="_Toc246996194"/>
      <w:bookmarkStart w:id="331" w:name="_Toc152045549"/>
      <w:bookmarkStart w:id="332" w:name="_Toc35424907"/>
      <w:bookmarkStart w:id="333" w:name="_Toc144974517"/>
      <w:bookmarkStart w:id="334" w:name="_Toc152042325"/>
      <w:bookmarkStart w:id="335" w:name="_Toc247085708"/>
      <w:bookmarkStart w:id="336" w:name="_Toc15058866"/>
      <w:bookmarkStart w:id="337" w:name="_Toc324404835"/>
      <w:bookmarkStart w:id="338" w:name="_Toc35425073"/>
      <w:bookmarkStart w:id="339" w:name="_Toc179632567"/>
      <w:bookmarkStart w:id="340" w:name="_Toc246996937"/>
      <w:bookmarkStart w:id="341" w:name="_Toc78803342"/>
      <w:r>
        <w:rPr>
          <w:rFonts w:hint="eastAsia" w:ascii="宋体" w:hAnsi="宋体" w:eastAsia="宋体" w:cs="宋体"/>
          <w:color w:val="auto"/>
          <w:szCs w:val="21"/>
          <w:highlight w:val="none"/>
        </w:rPr>
        <w:t>3.2.1投标报价应包括国家规定的增值税税金，除投标人须知前附表另有规定外，增值税税金按一般计税方法计算。投标人应按第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章“投标文件格式”的要求在投标函中进行报价并填写工程量清单相应表格。</w:t>
      </w:r>
    </w:p>
    <w:p w14:paraId="7667627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3.2.2投标人应充分了解本项目的总体情况以及影响投标报价的其他要素。</w:t>
      </w:r>
    </w:p>
    <w:p w14:paraId="4D796BD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3.2.3投标人在投标截止时间前修改投标函中的投标报价总额，应同时修改“已标价工程量清单”中的相应报价，投标报价总额为各分项金额之和。此修改须符合本章第4.4款的有关要求。</w:t>
      </w:r>
    </w:p>
    <w:p w14:paraId="13F722C0">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3.2.4招标人设有最高投标限价的，投标人的投标报价不得超过最高投标限价，最高投标限价在投标人须知前附表中载明。</w:t>
      </w:r>
    </w:p>
    <w:p w14:paraId="6C4EE0EF">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3.3 投标有效期</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7E5B1ED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3.3.1 除投标人须知前附表另有规定外，投标有效期为90天。</w:t>
      </w:r>
    </w:p>
    <w:p w14:paraId="7C6861E9">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3.3.2在投标有效期内，投标人撤销或修改其投标文件的，应承担招标文件和法律规定的责任。</w:t>
      </w:r>
    </w:p>
    <w:p w14:paraId="5EB52D86">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0146EB0">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342" w:name="_Toc179632568"/>
      <w:bookmarkStart w:id="343" w:name="_Toc247085709"/>
      <w:bookmarkStart w:id="344" w:name="_Toc324404836"/>
      <w:bookmarkStart w:id="345" w:name="_Toc152045550"/>
      <w:bookmarkStart w:id="346" w:name="_Toc246996195"/>
      <w:bookmarkStart w:id="347" w:name="_Toc152042326"/>
      <w:bookmarkStart w:id="348" w:name="_Toc35425074"/>
      <w:bookmarkStart w:id="349" w:name="_Toc506107289"/>
      <w:bookmarkStart w:id="350" w:name="_Toc78803343"/>
      <w:bookmarkStart w:id="351" w:name="_Toc35424908"/>
      <w:bookmarkStart w:id="352" w:name="_Toc15058867"/>
      <w:bookmarkStart w:id="353" w:name="_Toc144974518"/>
      <w:bookmarkStart w:id="354" w:name="_Toc296602440"/>
      <w:bookmarkStart w:id="355" w:name="_Toc10714"/>
      <w:bookmarkStart w:id="356" w:name="_Toc246996938"/>
      <w:r>
        <w:rPr>
          <w:rFonts w:hint="eastAsia" w:ascii="宋体" w:hAnsi="宋体" w:eastAsia="宋体" w:cs="宋体"/>
          <w:color w:val="auto"/>
          <w:highlight w:val="none"/>
        </w:rPr>
        <w:t>3.4 投标保证金</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1D11B245">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 投标人须知前附表规定递交投标保证金的，投标人在递交投标文件的同时，应按投标人须知前附表规定的金额、担保形式规定的或者事先经过招标人认可的保证金格式递交保证金，并作为其投标文件的组成部分。联合体投标的，其投标保证金由牵头人递交，并应符合投标人须知前附表的规定。</w:t>
      </w:r>
    </w:p>
    <w:p w14:paraId="3F78018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论采取何种形式的投标保证金，投标保证金有效期均应与投标有效期一致（采用保函的保证期截止时间不得早于该项目投标有效期的截止时间）。招标人如果按本章第3.3.3项的规定延长了投标有效期，则投标保证金的有效期也相应延长。</w:t>
      </w:r>
    </w:p>
    <w:p w14:paraId="56FF5AE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 投标人不按本章第3.4.1项要求提交投标保证金的，评标委员会将否决其投标。</w:t>
      </w:r>
    </w:p>
    <w:p w14:paraId="77920BD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有下列情形之一的，投标保证金将不予退还： </w:t>
      </w:r>
    </w:p>
    <w:p w14:paraId="0DD74E7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（1）投标截止后投标人撤销投标文件的；</w:t>
      </w:r>
    </w:p>
    <w:p w14:paraId="38EC08CC">
      <w:pPr>
        <w:pageBreakBefore w:val="0"/>
        <w:widowControl w:val="0"/>
        <w:kinsoku/>
        <w:wordWrap/>
        <w:overflowPunct/>
        <w:topLinePunct w:val="0"/>
        <w:autoSpaceDE/>
        <w:autoSpaceDN/>
        <w:bidi w:val="0"/>
        <w:spacing w:line="420" w:lineRule="exact"/>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（2）中标人无正当理由不与招标人订立合同，在签订合同时向招标人提出附加条件，或者不按照招标文件要求提交履约保证金的。</w:t>
      </w:r>
    </w:p>
    <w:p w14:paraId="1E0B748B">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357" w:name="_Toc78803344"/>
      <w:bookmarkStart w:id="358" w:name="_Toc19037"/>
      <w:bookmarkStart w:id="359" w:name="_Toc324404837"/>
      <w:bookmarkStart w:id="360" w:name="_Toc35424909"/>
      <w:bookmarkStart w:id="361" w:name="_Toc296602442"/>
      <w:bookmarkStart w:id="362" w:name="_Toc15058868"/>
      <w:bookmarkStart w:id="363" w:name="_Toc506107290"/>
      <w:bookmarkStart w:id="364" w:name="_Toc35425075"/>
      <w:bookmarkStart w:id="365" w:name="_Toc246996940"/>
      <w:bookmarkStart w:id="366" w:name="_Toc247085711"/>
      <w:bookmarkStart w:id="367" w:name="_Toc152045553"/>
      <w:bookmarkStart w:id="368" w:name="_Toc144974521"/>
      <w:bookmarkStart w:id="369" w:name="_Toc179632571"/>
      <w:bookmarkStart w:id="370" w:name="_Toc152042329"/>
      <w:bookmarkStart w:id="371" w:name="_Toc246996197"/>
      <w:r>
        <w:rPr>
          <w:rFonts w:hint="eastAsia" w:ascii="宋体" w:hAnsi="宋体" w:eastAsia="宋体" w:cs="宋体"/>
          <w:color w:val="auto"/>
          <w:highlight w:val="none"/>
        </w:rPr>
        <w:t>3.5投标文件的编制</w:t>
      </w:r>
      <w:bookmarkEnd w:id="357"/>
      <w:bookmarkEnd w:id="358"/>
      <w:bookmarkEnd w:id="359"/>
      <w:bookmarkEnd w:id="360"/>
      <w:bookmarkEnd w:id="361"/>
      <w:bookmarkEnd w:id="362"/>
      <w:bookmarkEnd w:id="363"/>
      <w:bookmarkEnd w:id="364"/>
    </w:p>
    <w:p w14:paraId="5EADB78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3.5.1投标文件应按第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章“投标文件格式”进行编写，如有必要，可以增加附页，作为投标文件的组成部分。其中，投标函在满足招标文件实质性要求的基础上，可以提出比招标文件要求更有利于招标人的承诺。施工组织设计编制的特殊要求见投标人须知前附表。</w:t>
      </w:r>
    </w:p>
    <w:bookmarkEnd w:id="365"/>
    <w:bookmarkEnd w:id="366"/>
    <w:bookmarkEnd w:id="367"/>
    <w:bookmarkEnd w:id="368"/>
    <w:bookmarkEnd w:id="369"/>
    <w:bookmarkEnd w:id="370"/>
    <w:bookmarkEnd w:id="371"/>
    <w:p w14:paraId="0C2C8A6B">
      <w:pPr>
        <w:pageBreakBefore w:val="0"/>
        <w:widowControl w:val="0"/>
        <w:kinsoku/>
        <w:wordWrap/>
        <w:overflowPunct/>
        <w:topLinePunct w:val="0"/>
        <w:autoSpaceDE/>
        <w:autoSpaceDN/>
        <w:bidi w:val="0"/>
        <w:spacing w:line="420" w:lineRule="exact"/>
        <w:ind w:firstLine="422" w:firstLineChars="200"/>
        <w:jc w:val="left"/>
        <w:textAlignment w:val="auto"/>
        <w:rPr>
          <w:rFonts w:hint="eastAsia" w:ascii="宋体" w:hAnsi="宋体" w:eastAsia="宋体" w:cs="宋体"/>
          <w:color w:val="auto"/>
          <w:szCs w:val="21"/>
          <w:highlight w:val="none"/>
        </w:rPr>
      </w:pPr>
      <w:bookmarkStart w:id="372" w:name="_Toc246996942"/>
      <w:bookmarkStart w:id="373" w:name="_Toc152045555"/>
      <w:bookmarkStart w:id="374" w:name="_Toc179632573"/>
      <w:bookmarkStart w:id="375" w:name="_Toc144974523"/>
      <w:bookmarkStart w:id="376" w:name="_Toc247085713"/>
      <w:bookmarkStart w:id="377" w:name="_Toc152042331"/>
      <w:bookmarkStart w:id="378" w:name="_Toc246996199"/>
      <w:bookmarkStart w:id="379" w:name="_Toc324404838"/>
      <w:r>
        <w:rPr>
          <w:rFonts w:hint="eastAsia" w:ascii="宋体" w:hAnsi="宋体" w:eastAsia="宋体" w:cs="宋体"/>
          <w:b/>
          <w:bCs/>
          <w:color w:val="auto"/>
          <w:szCs w:val="21"/>
          <w:highlight w:val="none"/>
        </w:rPr>
        <w:t>3.5.2本次投标不需要提供纸质投标文件，投标人应按照</w:t>
      </w:r>
      <w:r>
        <w:rPr>
          <w:rFonts w:hint="eastAsia" w:ascii="宋体" w:hAnsi="宋体" w:eastAsia="宋体" w:cs="宋体"/>
          <w:b/>
          <w:bCs/>
          <w:color w:val="auto"/>
          <w:szCs w:val="21"/>
          <w:highlight w:val="none"/>
          <w:lang w:val="en-US" w:eastAsia="zh-CN"/>
        </w:rPr>
        <w:t>招标文件</w:t>
      </w:r>
      <w:r>
        <w:rPr>
          <w:rFonts w:hint="eastAsia" w:ascii="宋体" w:hAnsi="宋体" w:eastAsia="宋体" w:cs="宋体"/>
          <w:b/>
          <w:bCs/>
          <w:color w:val="auto"/>
          <w:szCs w:val="21"/>
          <w:highlight w:val="none"/>
        </w:rPr>
        <w:t>的要求，制作、签章、</w:t>
      </w:r>
      <w:r>
        <w:rPr>
          <w:rFonts w:hint="eastAsia" w:ascii="宋体" w:hAnsi="宋体" w:cs="宋体"/>
          <w:b/>
          <w:bCs/>
          <w:color w:val="auto"/>
          <w:szCs w:val="21"/>
          <w:highlight w:val="none"/>
          <w:lang w:val="en-US" w:eastAsia="zh-CN"/>
        </w:rPr>
        <w:t>上传</w:t>
      </w:r>
      <w:r>
        <w:rPr>
          <w:rFonts w:hint="eastAsia" w:ascii="宋体" w:hAnsi="宋体" w:eastAsia="宋体" w:cs="宋体"/>
          <w:b/>
          <w:bCs/>
          <w:color w:val="auto"/>
          <w:szCs w:val="21"/>
          <w:highlight w:val="none"/>
        </w:rPr>
        <w:t>加密的电子投标文件。</w:t>
      </w:r>
    </w:p>
    <w:p w14:paraId="2C6DC4A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3.5.3投标文件应当对招标文件有关工期、投标有效期、质量要求、技术标准和要求、招标范围等实质性内容作出响应。</w:t>
      </w:r>
    </w:p>
    <w:p w14:paraId="69663F8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 投标人须知前附表规定接受联合体投标的，资格审查资料应包括联合体各方相关情况。</w:t>
      </w:r>
    </w:p>
    <w:p w14:paraId="4A7347D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3.5.5 招标人有权核查投标人在投标文件中提供的资料，若在评标期间发现投标人提供了虚假资料，其投标将被否决；若在签订合同前发现作为中标候选人的投标人提供了虚假资料，招标人有权取消其中标资格；</w:t>
      </w:r>
      <w:r>
        <w:rPr>
          <w:rFonts w:hint="eastAsia" w:ascii="宋体" w:hAnsi="宋体" w:eastAsia="宋体" w:cs="宋体"/>
          <w:b/>
          <w:bCs/>
          <w:color w:val="auto"/>
          <w:szCs w:val="21"/>
          <w:highlight w:val="none"/>
        </w:rPr>
        <w:t>如果签订合同后发现中标人提供了虚假材料，招标人有权解除合同。</w:t>
      </w:r>
      <w:r>
        <w:rPr>
          <w:rFonts w:hint="eastAsia" w:ascii="宋体" w:hAnsi="宋体" w:eastAsia="宋体" w:cs="宋体"/>
          <w:color w:val="auto"/>
          <w:szCs w:val="21"/>
          <w:highlight w:val="none"/>
        </w:rPr>
        <w:t>同时招标人将投标人上述弄虚作假行为上报</w:t>
      </w:r>
      <w:r>
        <w:rPr>
          <w:rFonts w:hint="eastAsia" w:ascii="宋体" w:hAnsi="宋体" w:eastAsia="宋体" w:cs="宋体"/>
          <w:color w:val="auto"/>
          <w:szCs w:val="21"/>
          <w:highlight w:val="none"/>
          <w:lang w:val="en-US" w:eastAsia="zh-CN"/>
        </w:rPr>
        <w:t>相关</w:t>
      </w:r>
      <w:r>
        <w:rPr>
          <w:rFonts w:hint="eastAsia" w:ascii="宋体" w:hAnsi="宋体" w:eastAsia="宋体" w:cs="宋体"/>
          <w:color w:val="auto"/>
          <w:szCs w:val="21"/>
          <w:highlight w:val="none"/>
        </w:rPr>
        <w:t>部门处理。</w:t>
      </w:r>
    </w:p>
    <w:p w14:paraId="2751B063">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投标文件的制作应满足以下规定：</w:t>
      </w:r>
    </w:p>
    <w:p w14:paraId="514B3A76">
      <w:pPr>
        <w:pageBreakBefore w:val="0"/>
        <w:widowControl w:val="0"/>
        <w:numPr>
          <w:ilvl w:val="0"/>
          <w:numId w:val="0"/>
        </w:numPr>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（1）投标文件由投标人使用新点电子交易平台提供的“投标文件制作工具”制作生成。“投标文件制作工具”可以通过电子交易系统下载。</w:t>
      </w:r>
    </w:p>
    <w:p w14:paraId="71101C40">
      <w:pPr>
        <w:pageBreakBefore w:val="0"/>
        <w:widowControl w:val="0"/>
        <w:numPr>
          <w:ilvl w:val="0"/>
          <w:numId w:val="0"/>
        </w:numPr>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b/>
          <w:bCs/>
          <w:color w:val="auto"/>
          <w:szCs w:val="21"/>
          <w:highlight w:val="none"/>
        </w:rPr>
        <w:t>招标文件中“签章”是指签字或盖章。</w:t>
      </w:r>
      <w:r>
        <w:rPr>
          <w:rFonts w:hint="eastAsia" w:ascii="宋体" w:hAnsi="宋体" w:eastAsia="宋体" w:cs="宋体"/>
          <w:color w:val="auto"/>
          <w:szCs w:val="21"/>
          <w:highlight w:val="none"/>
        </w:rPr>
        <w:t>在第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章“投标文件格式”中要求签章处，投标人应加盖投标人单位电子印章和法定代表人的个人电子印章/电子签名章或直接上传加盖投标人单位印章和法定代表人的印章（或签字）的原件彩色扫描件。联合体投标的，除联合体协议书外，投标文件由联合体牵头人按上述规定加盖联合体牵头人单位电子印章和法定代表人的个人电子印章/电子签名章或直接上传加盖联合体牵头人单位印章和法定代表人的印章（或签字）的原件彩色扫描件。</w:t>
      </w:r>
    </w:p>
    <w:p w14:paraId="4157439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0D39D96A">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2"/>
          <w:sz w:val="21"/>
          <w:szCs w:val="21"/>
          <w:highlight w:val="none"/>
          <w:lang w:val="en-US" w:eastAsia="zh-CN" w:bidi="ar-SA"/>
        </w:rPr>
        <w:t>3.5.7 因投标人自身原因而导致投标文件无法导入电子交易系统电子开标、评标系统，该投标视为无效投标，投标人自行承担由此导致的全部责任</w:t>
      </w:r>
      <w:r>
        <w:rPr>
          <w:rFonts w:hint="eastAsia" w:ascii="宋体" w:hAnsi="宋体" w:eastAsia="宋体" w:cs="宋体"/>
          <w:color w:val="auto"/>
          <w:szCs w:val="21"/>
          <w:highlight w:val="none"/>
          <w:lang w:eastAsia="zh-CN"/>
        </w:rPr>
        <w:t>。</w:t>
      </w:r>
    </w:p>
    <w:p w14:paraId="3AFD8E88">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3.6 备选投标方案</w:t>
      </w:r>
    </w:p>
    <w:p w14:paraId="4C07A0F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3.6.1除投标人须知前附表规定允许外，投标人不得递交备选投标方案，否则其投标将被否决。</w:t>
      </w:r>
    </w:p>
    <w:p w14:paraId="46C31E6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3.6.2允许投标人递交备选投标方案的，只有中标人所递交的备选投标方案方可予以考虑。评标委员会认为中标人的备选投标方案优于其按照招标文件要求编制的投标方案的，招标人可以接受该备选投标方案。</w:t>
      </w:r>
    </w:p>
    <w:p w14:paraId="062A6E15">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3.6.3投标人提供两个或两个以上投标报价，或在投标文件中提供一个报价，但同时提供两个或两个以上施工组织设计的，视为提供备选方案。</w:t>
      </w:r>
    </w:p>
    <w:p w14:paraId="7D818A36">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380" w:name="_Toc35424910"/>
      <w:bookmarkStart w:id="381" w:name="_Toc19455"/>
      <w:bookmarkStart w:id="382" w:name="_Toc15058869"/>
      <w:bookmarkStart w:id="383" w:name="_Toc78803345"/>
      <w:bookmarkStart w:id="384" w:name="_Toc506107291"/>
      <w:bookmarkStart w:id="385" w:name="_Toc35425076"/>
      <w:r>
        <w:rPr>
          <w:rFonts w:hint="eastAsia" w:ascii="宋体" w:hAnsi="宋体" w:eastAsia="宋体" w:cs="宋体"/>
          <w:color w:val="auto"/>
          <w:sz w:val="24"/>
          <w:szCs w:val="24"/>
          <w:highlight w:val="none"/>
        </w:rPr>
        <w:t>4.投标</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428D5FF5">
      <w:pPr>
        <w:pStyle w:val="7"/>
        <w:pageBreakBefore w:val="0"/>
        <w:widowControl w:val="0"/>
        <w:kinsoku/>
        <w:wordWrap/>
        <w:overflowPunct/>
        <w:topLinePunct w:val="0"/>
        <w:autoSpaceDE/>
        <w:autoSpaceDN/>
        <w:bidi w:val="0"/>
        <w:spacing w:line="420" w:lineRule="exact"/>
        <w:ind w:firstLine="422" w:firstLineChars="200"/>
        <w:textAlignment w:val="auto"/>
        <w:rPr>
          <w:rFonts w:hint="default" w:ascii="宋体" w:hAnsi="宋体" w:eastAsia="宋体" w:cs="宋体"/>
          <w:color w:val="auto"/>
          <w:highlight w:val="none"/>
          <w:lang w:val="en-US" w:eastAsia="zh-CN"/>
        </w:rPr>
      </w:pPr>
      <w:bookmarkStart w:id="386" w:name="_Toc78803346"/>
      <w:bookmarkStart w:id="387" w:name="_Toc14473"/>
      <w:bookmarkStart w:id="388" w:name="_Toc35424911"/>
      <w:bookmarkStart w:id="389" w:name="_Toc35425077"/>
      <w:bookmarkStart w:id="390" w:name="_Toc15058870"/>
      <w:r>
        <w:rPr>
          <w:rFonts w:hint="eastAsia" w:ascii="宋体" w:hAnsi="宋体" w:eastAsia="宋体" w:cs="宋体"/>
          <w:color w:val="auto"/>
          <w:highlight w:val="none"/>
        </w:rPr>
        <w:t>4.1投标文件</w:t>
      </w:r>
      <w:bookmarkEnd w:id="386"/>
      <w:bookmarkEnd w:id="387"/>
      <w:bookmarkEnd w:id="388"/>
      <w:bookmarkEnd w:id="389"/>
      <w:bookmarkEnd w:id="390"/>
      <w:r>
        <w:rPr>
          <w:rFonts w:hint="eastAsia" w:ascii="宋体" w:hAnsi="宋体" w:eastAsia="宋体" w:cs="宋体"/>
          <w:color w:val="auto"/>
          <w:highlight w:val="none"/>
          <w:lang w:val="en-US" w:eastAsia="zh-CN"/>
        </w:rPr>
        <w:t>的提交</w:t>
      </w:r>
    </w:p>
    <w:p w14:paraId="4F7DAAF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4.1.1请投标人通过</w:t>
      </w:r>
      <w:r>
        <w:rPr>
          <w:rFonts w:hint="eastAsia" w:ascii="宋体" w:hAnsi="宋体" w:eastAsia="宋体" w:cs="宋体"/>
          <w:color w:val="auto"/>
          <w:szCs w:val="21"/>
          <w:highlight w:val="none"/>
          <w:lang w:val="en-US" w:eastAsia="zh-CN"/>
        </w:rPr>
        <w:t>新点电子交易平台</w:t>
      </w:r>
      <w:r>
        <w:rPr>
          <w:rFonts w:hint="eastAsia" w:ascii="宋体" w:hAnsi="宋体" w:eastAsia="宋体" w:cs="宋体"/>
          <w:color w:val="auto"/>
          <w:szCs w:val="21"/>
          <w:highlight w:val="none"/>
        </w:rPr>
        <w:t>下载投标工具制作投标文件，并利用CA数字证书进行上传投标文件，上传已加密的投标文件，务必通过此方式上传投标文件。</w:t>
      </w:r>
    </w:p>
    <w:p w14:paraId="041AC3C3">
      <w:pPr>
        <w:pageBreakBefore w:val="0"/>
        <w:widowControl w:val="0"/>
        <w:kinsoku/>
        <w:wordWrap/>
        <w:overflowPunct/>
        <w:topLinePunct w:val="0"/>
        <w:autoSpaceDE/>
        <w:autoSpaceDN/>
        <w:bidi w:val="0"/>
        <w:spacing w:line="420" w:lineRule="exact"/>
        <w:ind w:firstLine="422" w:firstLineChars="200"/>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4.1.2</w:t>
      </w:r>
      <w:r>
        <w:rPr>
          <w:rFonts w:hint="eastAsia" w:ascii="宋体" w:hAnsi="宋体" w:eastAsia="宋体" w:cs="宋体"/>
          <w:b/>
          <w:bCs/>
          <w:color w:val="auto"/>
          <w:szCs w:val="21"/>
          <w:highlight w:val="none"/>
          <w:lang w:val="en-US" w:eastAsia="zh-CN"/>
        </w:rPr>
        <w:t>投标人在投标文件编制、签章、上传过程中如有任何操作的疑问请及时联系技术支持，电话：</w:t>
      </w:r>
      <w:r>
        <w:rPr>
          <w:rFonts w:hint="eastAsia" w:ascii="宋体" w:hAnsi="宋体" w:cs="宋体"/>
          <w:b/>
          <w:bCs/>
          <w:color w:val="auto"/>
          <w:szCs w:val="21"/>
          <w:highlight w:val="none"/>
          <w:lang w:val="en-US" w:eastAsia="zh-CN"/>
        </w:rPr>
        <w:t>0512-58151515</w:t>
      </w:r>
      <w:r>
        <w:rPr>
          <w:rFonts w:hint="eastAsia" w:ascii="宋体" w:hAnsi="宋体" w:eastAsia="宋体" w:cs="宋体"/>
          <w:b/>
          <w:bCs/>
          <w:color w:val="auto"/>
          <w:szCs w:val="21"/>
          <w:highlight w:val="none"/>
          <w:lang w:val="en-US" w:eastAsia="zh-CN"/>
        </w:rPr>
        <w:t>（工作日）或者网站首页在线客服</w:t>
      </w:r>
      <w:r>
        <w:rPr>
          <w:rFonts w:hint="eastAsia" w:ascii="宋体" w:hAnsi="宋体" w:eastAsia="宋体" w:cs="宋体"/>
          <w:b/>
          <w:bCs/>
          <w:color w:val="auto"/>
          <w:szCs w:val="21"/>
          <w:highlight w:val="none"/>
          <w:u w:val="none"/>
          <w:lang w:val="en-US" w:eastAsia="zh-CN"/>
        </w:rPr>
        <w:t>。</w:t>
      </w:r>
    </w:p>
    <w:p w14:paraId="74182504">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391" w:name="_Toc246996945"/>
      <w:bookmarkStart w:id="392" w:name="_Toc35424914"/>
      <w:bookmarkStart w:id="393" w:name="_Toc324404841"/>
      <w:bookmarkStart w:id="394" w:name="_Toc296602446"/>
      <w:bookmarkStart w:id="395" w:name="_Toc19572"/>
      <w:bookmarkStart w:id="396" w:name="_Toc78803347"/>
      <w:bookmarkStart w:id="397" w:name="_Toc15058873"/>
      <w:bookmarkStart w:id="398" w:name="_Toc144974526"/>
      <w:bookmarkStart w:id="399" w:name="_Toc247085716"/>
      <w:bookmarkStart w:id="400" w:name="_Toc35425080"/>
      <w:bookmarkStart w:id="401" w:name="_Toc179632576"/>
      <w:bookmarkStart w:id="402" w:name="_Toc152042334"/>
      <w:bookmarkStart w:id="403" w:name="_Toc152045558"/>
      <w:bookmarkStart w:id="404" w:name="_Toc506107294"/>
      <w:bookmarkStart w:id="405" w:name="_Toc246996202"/>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 投标文件的修改与撤回</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2DB18BE7">
      <w:pPr>
        <w:pageBreakBefore w:val="0"/>
        <w:widowControl w:val="0"/>
        <w:kinsoku/>
        <w:wordWrap/>
        <w:overflowPunct/>
        <w:topLinePunct w:val="0"/>
        <w:autoSpaceDE/>
        <w:autoSpaceDN/>
        <w:bidi w:val="0"/>
        <w:spacing w:line="420" w:lineRule="exact"/>
        <w:ind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4.</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.1 在规定的投标截止时间前，投标人可以自行从网上新点电子交易平台撤回已递交的投标文件，并可修改后重新加密上传，开标时以投标截止时间前投标人最终上传的投标文件为准。</w:t>
      </w:r>
    </w:p>
    <w:p w14:paraId="54810E39">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406" w:name="_Toc324404842"/>
      <w:bookmarkStart w:id="407" w:name="_Toc29639"/>
      <w:bookmarkStart w:id="408" w:name="_Toc78803348"/>
      <w:bookmarkStart w:id="409" w:name="_Toc179632577"/>
      <w:bookmarkStart w:id="410" w:name="_Toc15058874"/>
      <w:bookmarkStart w:id="411" w:name="_Toc246996946"/>
      <w:bookmarkStart w:id="412" w:name="_Toc35424915"/>
      <w:bookmarkStart w:id="413" w:name="_Toc152042335"/>
      <w:bookmarkStart w:id="414" w:name="_Toc506107295"/>
      <w:bookmarkStart w:id="415" w:name="_Toc247085717"/>
      <w:bookmarkStart w:id="416" w:name="_Toc144974527"/>
      <w:bookmarkStart w:id="417" w:name="_Toc35425081"/>
      <w:bookmarkStart w:id="418" w:name="_Toc246996203"/>
      <w:bookmarkStart w:id="419" w:name="_Toc152045559"/>
      <w:r>
        <w:rPr>
          <w:rFonts w:hint="eastAsia" w:ascii="宋体" w:hAnsi="宋体" w:eastAsia="宋体" w:cs="宋体"/>
          <w:color w:val="auto"/>
          <w:sz w:val="24"/>
          <w:szCs w:val="24"/>
          <w:highlight w:val="none"/>
        </w:rPr>
        <w:t>5. 开标</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53EC18D2">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20" w:name="_Toc78803349"/>
      <w:bookmarkStart w:id="421" w:name="_Toc179632578"/>
      <w:bookmarkStart w:id="422" w:name="_Toc35425082"/>
      <w:bookmarkStart w:id="423" w:name="_Toc15058875"/>
      <w:bookmarkStart w:id="424" w:name="_Toc246996947"/>
      <w:bookmarkStart w:id="425" w:name="_Toc506107296"/>
      <w:bookmarkStart w:id="426" w:name="_Toc13691"/>
      <w:bookmarkStart w:id="427" w:name="_Toc324404843"/>
      <w:bookmarkStart w:id="428" w:name="_Toc296602448"/>
      <w:bookmarkStart w:id="429" w:name="_Toc247085718"/>
      <w:bookmarkStart w:id="430" w:name="_Toc144974528"/>
      <w:bookmarkStart w:id="431" w:name="_Toc152042336"/>
      <w:bookmarkStart w:id="432" w:name="_Toc35424916"/>
      <w:bookmarkStart w:id="433" w:name="_Toc152045560"/>
      <w:bookmarkStart w:id="434" w:name="_Toc246996204"/>
      <w:r>
        <w:rPr>
          <w:rFonts w:hint="eastAsia" w:ascii="宋体" w:hAnsi="宋体" w:eastAsia="宋体" w:cs="宋体"/>
          <w:color w:val="auto"/>
          <w:highlight w:val="none"/>
        </w:rPr>
        <w:t>5.1 开标时间和地点</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35BB653F">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招标人在投标人须知前附表规定的投标截止时间（开标时间）和地点通过新点电子交易平台公开开标。</w:t>
      </w:r>
    </w:p>
    <w:p w14:paraId="269D989E">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35" w:name="_Toc35425083"/>
      <w:bookmarkStart w:id="436" w:name="_Toc324404844"/>
      <w:bookmarkStart w:id="437" w:name="_Toc35424917"/>
      <w:bookmarkStart w:id="438" w:name="_Toc144974529"/>
      <w:bookmarkStart w:id="439" w:name="_Toc152045561"/>
      <w:bookmarkStart w:id="440" w:name="_Toc32451"/>
      <w:bookmarkStart w:id="441" w:name="_Toc179632579"/>
      <w:bookmarkStart w:id="442" w:name="_Toc15058876"/>
      <w:bookmarkStart w:id="443" w:name="_Toc152042337"/>
      <w:bookmarkStart w:id="444" w:name="_Toc246996205"/>
      <w:bookmarkStart w:id="445" w:name="_Toc78803350"/>
      <w:bookmarkStart w:id="446" w:name="_Toc247085719"/>
      <w:bookmarkStart w:id="447" w:name="_Toc296602449"/>
      <w:bookmarkStart w:id="448" w:name="_Toc246996948"/>
      <w:bookmarkStart w:id="449" w:name="_Toc506107297"/>
      <w:r>
        <w:rPr>
          <w:rFonts w:hint="eastAsia" w:ascii="宋体" w:hAnsi="宋体" w:eastAsia="宋体" w:cs="宋体"/>
          <w:color w:val="auto"/>
          <w:highlight w:val="none"/>
        </w:rPr>
        <w:t>5.2 开标程序</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1AF56C4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主持人按下列程序进行开标：</w:t>
      </w:r>
      <w:bookmarkStart w:id="450" w:name="_Toc324404845"/>
      <w:bookmarkStart w:id="451" w:name="_Toc296602450"/>
    </w:p>
    <w:p w14:paraId="2E43154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bookmarkStart w:id="452" w:name="_Toc15058877"/>
      <w:bookmarkStart w:id="453" w:name="_Toc506107298"/>
      <w:r>
        <w:rPr>
          <w:rFonts w:hint="eastAsia" w:ascii="宋体" w:hAnsi="宋体" w:cs="宋体"/>
          <w:color w:val="auto"/>
          <w:szCs w:val="21"/>
          <w:highlight w:val="none"/>
        </w:rPr>
        <w:t>（1）</w:t>
      </w:r>
      <w:bookmarkEnd w:id="452"/>
      <w:bookmarkStart w:id="454" w:name="_Toc15058882"/>
      <w:r>
        <w:rPr>
          <w:rFonts w:hint="eastAsia" w:ascii="宋体" w:hAnsi="宋体" w:cs="宋体"/>
          <w:color w:val="auto"/>
          <w:szCs w:val="21"/>
          <w:highlight w:val="none"/>
        </w:rPr>
        <w:t>公布在投标截止时间前通过</w:t>
      </w:r>
      <w:r>
        <w:rPr>
          <w:rFonts w:hint="eastAsia" w:ascii="宋体" w:hAnsi="宋体" w:cs="宋体"/>
          <w:color w:val="auto"/>
          <w:szCs w:val="21"/>
          <w:highlight w:val="none"/>
          <w:lang w:val="en-US" w:eastAsia="zh-CN"/>
        </w:rPr>
        <w:t>新点电子交易平台</w:t>
      </w:r>
      <w:r>
        <w:rPr>
          <w:rFonts w:hint="eastAsia" w:ascii="宋体" w:hAnsi="宋体" w:cs="宋体"/>
          <w:color w:val="auto"/>
          <w:szCs w:val="21"/>
          <w:highlight w:val="none"/>
        </w:rPr>
        <w:t>完成投标文件递交的投标人名称；</w:t>
      </w:r>
    </w:p>
    <w:p w14:paraId="3452F290">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（2）投标人在投标截止时间后在投标人须知前附表规定的解密时间内完成投标文件的解密工作；</w:t>
      </w:r>
    </w:p>
    <w:p w14:paraId="40129C2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（3）招标人或招标代理机构完成解密工作，导入并读取所有成功解密的投标文件；</w:t>
      </w:r>
    </w:p>
    <w:p w14:paraId="1D5BF68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（4）按投标人须知前附表规定公布投标人名称、投标报价</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内容；</w:t>
      </w:r>
    </w:p>
    <w:p w14:paraId="2C9966F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（5）开标结束。</w:t>
      </w:r>
      <w:bookmarkEnd w:id="454"/>
    </w:p>
    <w:p w14:paraId="7024519A">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5.3 开标异议</w:t>
      </w:r>
    </w:p>
    <w:p w14:paraId="6DC38D0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投标人对开标有异议的，应当在开标过程中提出，招标人在开标过程中作出答复，并制作记录。异议与答复应通过新点电子交易平台进行。</w:t>
      </w:r>
    </w:p>
    <w:bookmarkEnd w:id="450"/>
    <w:bookmarkEnd w:id="451"/>
    <w:bookmarkEnd w:id="453"/>
    <w:p w14:paraId="6DA8798D">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455" w:name="_Toc20689"/>
      <w:bookmarkStart w:id="456" w:name="_Toc35425085"/>
      <w:bookmarkStart w:id="457" w:name="_Toc152045562"/>
      <w:bookmarkStart w:id="458" w:name="_Toc246996949"/>
      <w:bookmarkStart w:id="459" w:name="_Toc15058884"/>
      <w:bookmarkStart w:id="460" w:name="_Toc78803352"/>
      <w:bookmarkStart w:id="461" w:name="_Toc179632580"/>
      <w:bookmarkStart w:id="462" w:name="_Toc324404846"/>
      <w:bookmarkStart w:id="463" w:name="_Toc506107299"/>
      <w:bookmarkStart w:id="464" w:name="_Toc152042338"/>
      <w:bookmarkStart w:id="465" w:name="_Toc35424919"/>
      <w:bookmarkStart w:id="466" w:name="_Toc246996206"/>
      <w:bookmarkStart w:id="467" w:name="_Toc247085720"/>
      <w:bookmarkStart w:id="468" w:name="_Toc144974530"/>
      <w:r>
        <w:rPr>
          <w:rFonts w:hint="eastAsia" w:ascii="宋体" w:hAnsi="宋体" w:eastAsia="宋体" w:cs="宋体"/>
          <w:color w:val="auto"/>
          <w:sz w:val="24"/>
          <w:szCs w:val="24"/>
          <w:highlight w:val="none"/>
        </w:rPr>
        <w:t>6. 评标</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78701A69">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69" w:name="_Toc14249"/>
      <w:bookmarkStart w:id="470" w:name="_Toc324404847"/>
      <w:bookmarkStart w:id="471" w:name="_Toc506107300"/>
      <w:bookmarkStart w:id="472" w:name="_Toc296602452"/>
      <w:bookmarkStart w:id="473" w:name="_Toc35424920"/>
      <w:bookmarkStart w:id="474" w:name="_Toc152045563"/>
      <w:bookmarkStart w:id="475" w:name="_Toc246996207"/>
      <w:bookmarkStart w:id="476" w:name="_Toc246996950"/>
      <w:bookmarkStart w:id="477" w:name="_Toc15058885"/>
      <w:bookmarkStart w:id="478" w:name="_Toc78803353"/>
      <w:bookmarkStart w:id="479" w:name="_Toc144974531"/>
      <w:bookmarkStart w:id="480" w:name="_Toc247085721"/>
      <w:bookmarkStart w:id="481" w:name="_Toc35425086"/>
      <w:bookmarkStart w:id="482" w:name="_Toc152042339"/>
      <w:bookmarkStart w:id="483" w:name="_Toc179632581"/>
      <w:r>
        <w:rPr>
          <w:rFonts w:hint="eastAsia" w:ascii="宋体" w:hAnsi="宋体" w:eastAsia="宋体" w:cs="宋体"/>
          <w:color w:val="auto"/>
          <w:highlight w:val="none"/>
        </w:rPr>
        <w:t>6.1 评标委员会</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14:paraId="4C6C8C5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24440D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6.1.2 评标委员会成员有下列情形之一的，应当回避：</w:t>
      </w:r>
    </w:p>
    <w:p w14:paraId="6F7C2F0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（1）项目主管部门或行政监督管理部门，项目属地的公共资源交易综合管理部门、交易中心的工作人员； </w:t>
      </w:r>
    </w:p>
    <w:p w14:paraId="3768D94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（2）与竞争主体主要负责人或者授权参与交易的代理人有近亲属关系的人员； </w:t>
      </w:r>
    </w:p>
    <w:p w14:paraId="66067B0A">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（3）竞争主体的工作人员或者退休人员； </w:t>
      </w:r>
    </w:p>
    <w:p w14:paraId="231F4BC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（4）竞争主体的上级主管、控股或者被控股单位等相关利害关系的人员，或任职单位与竞争主体单位为同一法定代表人的； </w:t>
      </w:r>
    </w:p>
    <w:p w14:paraId="545A234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（5）存在其他法定回避情形的。</w:t>
      </w:r>
    </w:p>
    <w:p w14:paraId="69F1789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3AB26326">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424AFD3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6.1.3评标过程中，评标委员会成员有回避事由、擅离职守或因健康等原因不能继续评标的， 招标人有权更换。被更换的评标委员会成员作出的评审结论无效，由更换后的评标委员会成员重新进行评审。</w:t>
      </w:r>
    </w:p>
    <w:p w14:paraId="5F83F45C">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84" w:name="_Toc15058886"/>
      <w:bookmarkStart w:id="485" w:name="_Toc324404848"/>
      <w:bookmarkStart w:id="486" w:name="_Toc35425087"/>
      <w:bookmarkStart w:id="487" w:name="_Toc12948"/>
      <w:bookmarkStart w:id="488" w:name="_Toc246996951"/>
      <w:bookmarkStart w:id="489" w:name="_Toc78803354"/>
      <w:bookmarkStart w:id="490" w:name="_Toc246996208"/>
      <w:bookmarkStart w:id="491" w:name="_Toc506107301"/>
      <w:bookmarkStart w:id="492" w:name="_Toc144974532"/>
      <w:bookmarkStart w:id="493" w:name="_Toc152042340"/>
      <w:bookmarkStart w:id="494" w:name="_Toc152045564"/>
      <w:bookmarkStart w:id="495" w:name="_Toc35424921"/>
      <w:bookmarkStart w:id="496" w:name="_Toc247085722"/>
      <w:bookmarkStart w:id="497" w:name="_Toc296602453"/>
      <w:bookmarkStart w:id="498" w:name="_Toc179632582"/>
      <w:r>
        <w:rPr>
          <w:rFonts w:hint="eastAsia" w:ascii="宋体" w:hAnsi="宋体" w:eastAsia="宋体" w:cs="宋体"/>
          <w:color w:val="auto"/>
          <w:highlight w:val="none"/>
        </w:rPr>
        <w:t>6.2 评标原则</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609DF64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评标活动遵循公平、公正、科学和择优的原则。</w:t>
      </w:r>
    </w:p>
    <w:p w14:paraId="2CC2DB36">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499" w:name="_Toc35425088"/>
      <w:bookmarkStart w:id="500" w:name="_Toc152042341"/>
      <w:bookmarkStart w:id="501" w:name="_Toc35424922"/>
      <w:bookmarkStart w:id="502" w:name="_Toc324404849"/>
      <w:bookmarkStart w:id="503" w:name="_Toc179632583"/>
      <w:bookmarkStart w:id="504" w:name="_Toc246996209"/>
      <w:bookmarkStart w:id="505" w:name="_Toc296602454"/>
      <w:bookmarkStart w:id="506" w:name="_Toc15058887"/>
      <w:bookmarkStart w:id="507" w:name="_Toc78803355"/>
      <w:bookmarkStart w:id="508" w:name="_Toc144974533"/>
      <w:bookmarkStart w:id="509" w:name="_Toc152045565"/>
      <w:bookmarkStart w:id="510" w:name="_Toc246996952"/>
      <w:bookmarkStart w:id="511" w:name="_Toc247085723"/>
      <w:bookmarkStart w:id="512" w:name="_Toc506107302"/>
      <w:bookmarkStart w:id="513" w:name="_Toc14892"/>
      <w:r>
        <w:rPr>
          <w:rFonts w:hint="eastAsia" w:ascii="宋体" w:hAnsi="宋体" w:eastAsia="宋体" w:cs="宋体"/>
          <w:color w:val="auto"/>
          <w:highlight w:val="none"/>
        </w:rPr>
        <w:t>6.3 评标</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676AE67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bookmarkStart w:id="514" w:name="_Toc144974534"/>
      <w:bookmarkStart w:id="515" w:name="_Toc152045566"/>
      <w:bookmarkStart w:id="516" w:name="_Toc179632584"/>
      <w:bookmarkStart w:id="517" w:name="_Toc246996210"/>
      <w:bookmarkStart w:id="518" w:name="_Toc246996953"/>
      <w:bookmarkStart w:id="519" w:name="_Toc324404850"/>
      <w:bookmarkStart w:id="520" w:name="_Toc247085724"/>
      <w:bookmarkStart w:id="521" w:name="_Toc152042342"/>
      <w:r>
        <w:rPr>
          <w:rFonts w:hint="eastAsia" w:ascii="宋体" w:hAnsi="宋体" w:cs="宋体"/>
          <w:color w:val="auto"/>
          <w:szCs w:val="21"/>
          <w:highlight w:val="none"/>
        </w:rPr>
        <w:t>6.3.1评标委员会按照第三章“评标办法”规定的方法、评审因素、标准和程序对投标文件进行评审。第三章“评标办法”没有规定的方法、评审因素和标准，不作为评标依据。</w:t>
      </w:r>
    </w:p>
    <w:p w14:paraId="500306B2">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6.3.2评标完成后，评标委员会应向招标人提交书面评标报告和中标候选人名单。评标委员会推荐中标候选人的人数见投标人须知前附表。</w:t>
      </w:r>
    </w:p>
    <w:p w14:paraId="0CE8491E">
      <w:pPr>
        <w:pStyle w:val="7"/>
        <w:pageBreakBefore w:val="0"/>
        <w:widowControl w:val="0"/>
        <w:kinsoku/>
        <w:wordWrap/>
        <w:overflowPunct/>
        <w:topLinePunct w:val="0"/>
        <w:autoSpaceDE/>
        <w:autoSpaceDN/>
        <w:bidi w:val="0"/>
        <w:spacing w:beforeLines="50" w:afterLines="50" w:line="420" w:lineRule="exact"/>
        <w:ind w:firstLine="482" w:firstLineChars="200"/>
        <w:textAlignment w:val="auto"/>
        <w:rPr>
          <w:rFonts w:ascii="宋体" w:hAnsi="宋体" w:eastAsia="宋体" w:cs="宋体"/>
          <w:color w:val="auto"/>
          <w:sz w:val="24"/>
          <w:szCs w:val="24"/>
          <w:highlight w:val="none"/>
        </w:rPr>
      </w:pPr>
      <w:bookmarkStart w:id="522" w:name="_Toc26182"/>
      <w:bookmarkStart w:id="523" w:name="_Toc35425089"/>
      <w:bookmarkStart w:id="524" w:name="_Toc506107303"/>
      <w:bookmarkStart w:id="525" w:name="_Toc78803356"/>
      <w:bookmarkStart w:id="526" w:name="_Toc35424923"/>
      <w:bookmarkStart w:id="527" w:name="_Toc15058888"/>
      <w:r>
        <w:rPr>
          <w:rFonts w:hint="eastAsia" w:ascii="宋体" w:hAnsi="宋体" w:eastAsia="宋体" w:cs="宋体"/>
          <w:color w:val="auto"/>
          <w:sz w:val="24"/>
          <w:szCs w:val="24"/>
          <w:highlight w:val="none"/>
        </w:rPr>
        <w:t>7. 合同授予</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0064B0A8">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28" w:name="_Toc60061472"/>
      <w:bookmarkStart w:id="529" w:name="_Toc506107305"/>
      <w:bookmarkStart w:id="530" w:name="_Toc324404852"/>
      <w:bookmarkStart w:id="531" w:name="_Toc15058890"/>
      <w:bookmarkStart w:id="532" w:name="_Toc95223374"/>
      <w:bookmarkStart w:id="533" w:name="_Toc83301726"/>
      <w:bookmarkStart w:id="534" w:name="_Toc296602457"/>
      <w:bookmarkStart w:id="535" w:name="_Toc4204"/>
      <w:bookmarkStart w:id="536" w:name="_Toc296602458"/>
      <w:bookmarkStart w:id="537" w:name="_Toc506107306"/>
      <w:bookmarkStart w:id="538" w:name="_Toc179632586"/>
      <w:bookmarkStart w:id="539" w:name="_Toc35424927"/>
      <w:bookmarkStart w:id="540" w:name="_Toc15058891"/>
      <w:bookmarkStart w:id="541" w:name="_Toc246996212"/>
      <w:bookmarkStart w:id="542" w:name="_Toc144974536"/>
      <w:bookmarkStart w:id="543" w:name="_Toc152042344"/>
      <w:bookmarkStart w:id="544" w:name="_Toc247085726"/>
      <w:bookmarkStart w:id="545" w:name="_Toc324404853"/>
      <w:bookmarkStart w:id="546" w:name="_Toc78803360"/>
      <w:bookmarkStart w:id="547" w:name="_Toc246996955"/>
      <w:bookmarkStart w:id="548" w:name="_Toc152045568"/>
      <w:bookmarkStart w:id="549" w:name="_Toc35425093"/>
      <w:bookmarkStart w:id="550" w:name="_Toc14692"/>
      <w:r>
        <w:rPr>
          <w:rFonts w:hint="eastAsia" w:ascii="宋体" w:hAnsi="宋体" w:eastAsia="宋体" w:cs="宋体"/>
          <w:color w:val="auto"/>
          <w:highlight w:val="none"/>
        </w:rPr>
        <w:t>7.1 中标候选人公示</w:t>
      </w:r>
      <w:bookmarkEnd w:id="528"/>
      <w:bookmarkEnd w:id="529"/>
      <w:bookmarkEnd w:id="530"/>
      <w:bookmarkEnd w:id="531"/>
      <w:bookmarkEnd w:id="532"/>
      <w:bookmarkEnd w:id="533"/>
      <w:bookmarkEnd w:id="534"/>
    </w:p>
    <w:p w14:paraId="689684D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招标人在收到评标报告之日起3日内，按照投标人须知前附表规定的公示媒介和期限依法公示。中标候选人公示期不得少于3日。</w:t>
      </w:r>
    </w:p>
    <w:p w14:paraId="097F7836">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7.2 评标结果异议</w:t>
      </w:r>
    </w:p>
    <w:p w14:paraId="4AE5D7F2">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投标人或其他利害关系人对评标结果有异议的，应在中标候选人公示期内提出。招标人将在收到异议之日起3日内作出答复；作出答复前，将暂停招标投标活动。</w:t>
      </w:r>
    </w:p>
    <w:bookmarkEnd w:id="535"/>
    <w:p w14:paraId="36849310">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7.3 中标候选人履约能力审查</w:t>
      </w:r>
    </w:p>
    <w:p w14:paraId="2B7F7477">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中标候选人的经营、财务状况发生较大变化或者存在违法行为，招标人认为可能影响其履约能力的，应当在发出中标通知书前由原评标委员会按照招标文件规定的标准和方法审查确认。</w:t>
      </w:r>
    </w:p>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14:paraId="4D32A218">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51" w:name="_Toc83301727"/>
      <w:bookmarkStart w:id="552" w:name="_Toc95223375"/>
      <w:bookmarkStart w:id="553" w:name="_Toc60061474"/>
      <w:bookmarkStart w:id="554" w:name="_Toc324404855"/>
      <w:bookmarkStart w:id="555" w:name="_Toc246996957"/>
      <w:bookmarkStart w:id="556" w:name="_Toc78803363"/>
      <w:bookmarkStart w:id="557" w:name="_Toc11010"/>
      <w:bookmarkStart w:id="558" w:name="_Toc35425096"/>
      <w:bookmarkStart w:id="559" w:name="_Toc246996214"/>
      <w:bookmarkStart w:id="560" w:name="_Toc247085728"/>
      <w:bookmarkStart w:id="561" w:name="_Toc35424930"/>
      <w:bookmarkStart w:id="562" w:name="_Toc152042346"/>
      <w:bookmarkStart w:id="563" w:name="_Toc296602460"/>
      <w:bookmarkStart w:id="564" w:name="_Toc144974538"/>
      <w:bookmarkStart w:id="565" w:name="_Toc15058893"/>
      <w:bookmarkStart w:id="566" w:name="_Toc506107308"/>
      <w:bookmarkStart w:id="567" w:name="_Toc152045570"/>
      <w:bookmarkStart w:id="568" w:name="_Toc179632588"/>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 xml:space="preserve">4 </w:t>
      </w:r>
      <w:r>
        <w:rPr>
          <w:rFonts w:hint="eastAsia" w:ascii="宋体" w:hAnsi="宋体" w:eastAsia="宋体" w:cs="宋体"/>
          <w:color w:val="auto"/>
          <w:highlight w:val="none"/>
        </w:rPr>
        <w:t>定标</w:t>
      </w:r>
      <w:bookmarkEnd w:id="551"/>
      <w:bookmarkEnd w:id="552"/>
    </w:p>
    <w:p w14:paraId="714925AD">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96BE9DF">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69" w:name="_Toc83301728"/>
      <w:bookmarkStart w:id="570" w:name="_Toc95223376"/>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 xml:space="preserve"> 中标通知</w:t>
      </w:r>
      <w:bookmarkEnd w:id="553"/>
      <w:bookmarkEnd w:id="569"/>
      <w:bookmarkEnd w:id="570"/>
    </w:p>
    <w:p w14:paraId="4AD65EFF">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在本招标文件规定的投标有效期内，招标人向中标人发出中标通知书，同时将中标结果通知未中标的投标人。</w:t>
      </w:r>
    </w:p>
    <w:p w14:paraId="4294DA74">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71" w:name="_Toc95223377"/>
      <w:r>
        <w:rPr>
          <w:rFonts w:hint="eastAsia" w:ascii="宋体" w:hAnsi="宋体" w:eastAsia="宋体" w:cs="宋体"/>
          <w:color w:val="auto"/>
          <w:highlight w:val="none"/>
        </w:rPr>
        <w:t>7.</w:t>
      </w:r>
      <w:r>
        <w:rPr>
          <w:rFonts w:hint="eastAsia" w:ascii="宋体" w:hAnsi="宋体" w:eastAsia="宋体" w:cs="宋体"/>
          <w:color w:val="auto"/>
          <w:highlight w:val="none"/>
          <w:lang w:val="en-US" w:eastAsia="zh-CN"/>
        </w:rPr>
        <w:t xml:space="preserve">6 </w:t>
      </w:r>
      <w:r>
        <w:rPr>
          <w:rFonts w:hint="eastAsia" w:ascii="宋体" w:hAnsi="宋体" w:eastAsia="宋体" w:cs="宋体"/>
          <w:color w:val="auto"/>
          <w:highlight w:val="none"/>
        </w:rPr>
        <w:t>中标结果公示</w:t>
      </w:r>
      <w:bookmarkEnd w:id="571"/>
    </w:p>
    <w:p w14:paraId="3E5A2F8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招标人在确定中标人之日起3日内，按照投标人须知前附表规定的公示媒介和期限依法公示中标结果。</w:t>
      </w:r>
    </w:p>
    <w:p w14:paraId="29F52F53">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72" w:name="_Toc60061476"/>
      <w:bookmarkStart w:id="573" w:name="_Toc152042345"/>
      <w:bookmarkStart w:id="574" w:name="_Toc152045569"/>
      <w:bookmarkStart w:id="575" w:name="_Toc144974537"/>
      <w:bookmarkStart w:id="576" w:name="_Toc246996213"/>
      <w:bookmarkStart w:id="577" w:name="_Toc95223378"/>
      <w:bookmarkStart w:id="578" w:name="_Toc324404854"/>
      <w:bookmarkStart w:id="579" w:name="_Toc247085727"/>
      <w:bookmarkStart w:id="580" w:name="_Toc83301730"/>
      <w:bookmarkStart w:id="581" w:name="_Toc179632587"/>
      <w:bookmarkStart w:id="582" w:name="_Toc296602459"/>
      <w:bookmarkStart w:id="583" w:name="_Toc246996956"/>
      <w:bookmarkStart w:id="584" w:name="_Toc506107307"/>
      <w:bookmarkStart w:id="585" w:name="_Toc15058892"/>
      <w:r>
        <w:rPr>
          <w:rFonts w:hint="eastAsia" w:ascii="宋体" w:hAnsi="宋体" w:eastAsia="宋体" w:cs="宋体"/>
          <w:color w:val="auto"/>
          <w:highlight w:val="none"/>
        </w:rPr>
        <w:t>7.8 履约担保</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137F686B">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7.8.1在签订合同前，中标人应按投标人须知前附表规定的担保形式和招标文件第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章“合同条款及格式”规定的或者事先经过招标人书面认可的履约担保格式向招标人提交履约担保。联合体中标的，其履约担保应符合投标人须知前附表规定的金额、担保形式和招标文件第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章“合同条款及格式”规定的履约担保格式要求。</w:t>
      </w:r>
    </w:p>
    <w:p w14:paraId="221B81D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7.8.2 中标人不能按本章第7.8.1项要求提交履约担保的，视为放弃中标，其投标保证金不予退还，给招标人造成的损失超过投标保证金数额的，中标人还应当对超过部分予以赔偿。</w:t>
      </w:r>
    </w:p>
    <w:p w14:paraId="4242DBC1">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586" w:name="_Toc83301731"/>
      <w:bookmarkStart w:id="587" w:name="_Toc95223379"/>
      <w:bookmarkStart w:id="588" w:name="_Toc60061477"/>
      <w:r>
        <w:rPr>
          <w:rFonts w:hint="eastAsia" w:ascii="宋体" w:hAnsi="宋体" w:eastAsia="宋体" w:cs="宋体"/>
          <w:color w:val="auto"/>
          <w:highlight w:val="none"/>
        </w:rPr>
        <w:t>7.9 签订合同</w:t>
      </w:r>
      <w:bookmarkEnd w:id="586"/>
      <w:bookmarkEnd w:id="587"/>
      <w:bookmarkEnd w:id="588"/>
    </w:p>
    <w:p w14:paraId="0ADABA1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7.9.1本招标工程的施工合同将授予按本须知第7.</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款规定所确定的中标人。</w:t>
      </w:r>
    </w:p>
    <w:p w14:paraId="4B7A5D0A">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7.9.2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其投标保证金不予退还；给招标人造成的损失超过投标保证金数额的，中标人还应当对超过部分予以赔偿。</w:t>
      </w:r>
    </w:p>
    <w:p w14:paraId="7B7101A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7.9.3 发出中标通知书后，招标人无正当理由拒签合同的，招标人向中标人退还投标保证金；给中标人造成损失的，还应当赔偿损失。</w:t>
      </w:r>
    </w:p>
    <w:p w14:paraId="70ABAA7E">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7.9.4 除法定情形外，建设工程合同履行期间项目经理（建造师）不得更换。项目经理（建造师）确需变更的，应根据招标文件要求，变更后的项目经理（建造师）不低于投标文件中拟派项目经理（建造师）的资格条件。</w:t>
      </w:r>
    </w:p>
    <w:p w14:paraId="1CE704B8">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7.9.5 联合体中标的，联合体各方应当共同与招标人签订合同，就中标项目向招标人承担连带责任。</w:t>
      </w:r>
    </w:p>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14:paraId="10B04D04">
      <w:pPr>
        <w:pStyle w:val="7"/>
        <w:pageBreakBefore w:val="0"/>
        <w:widowControl w:val="0"/>
        <w:kinsoku/>
        <w:wordWrap/>
        <w:overflowPunct/>
        <w:topLinePunct w:val="0"/>
        <w:autoSpaceDE/>
        <w:autoSpaceDN/>
        <w:bidi w:val="0"/>
        <w:spacing w:beforeLines="50" w:afterLines="50" w:line="420" w:lineRule="exact"/>
        <w:ind w:firstLine="422" w:firstLineChars="200"/>
        <w:textAlignment w:val="auto"/>
        <w:rPr>
          <w:rFonts w:hint="eastAsia" w:ascii="宋体" w:hAnsi="宋体" w:eastAsia="宋体" w:cs="宋体"/>
          <w:color w:val="auto"/>
          <w:highlight w:val="none"/>
        </w:rPr>
      </w:pPr>
      <w:bookmarkStart w:id="589" w:name="_Toc60061478"/>
      <w:bookmarkStart w:id="590" w:name="_Toc95223381"/>
      <w:bookmarkStart w:id="591" w:name="_Toc152045571"/>
      <w:bookmarkStart w:id="592" w:name="_Toc152042347"/>
      <w:bookmarkStart w:id="593" w:name="_Toc179632589"/>
      <w:bookmarkStart w:id="594" w:name="_Toc144974539"/>
      <w:bookmarkStart w:id="595" w:name="_Toc83301732"/>
      <w:bookmarkStart w:id="596" w:name="_Toc31686"/>
      <w:bookmarkStart w:id="597" w:name="_Toc35424931"/>
      <w:bookmarkStart w:id="598" w:name="_Toc26974"/>
      <w:bookmarkStart w:id="599" w:name="_Toc78803367"/>
      <w:bookmarkStart w:id="600" w:name="_Toc35425097"/>
      <w:bookmarkStart w:id="601" w:name="_Toc25375"/>
      <w:bookmarkStart w:id="602" w:name="_Toc324404864"/>
      <w:bookmarkStart w:id="603" w:name="_Toc35425105"/>
      <w:bookmarkStart w:id="604" w:name="_Toc35424939"/>
      <w:bookmarkStart w:id="605" w:name="_Toc506107317"/>
      <w:bookmarkStart w:id="606" w:name="_Toc15058902"/>
      <w:bookmarkStart w:id="607" w:name="_Toc296602475"/>
      <w:r>
        <w:rPr>
          <w:rFonts w:hint="eastAsia" w:ascii="宋体" w:hAnsi="宋体" w:eastAsia="宋体" w:cs="宋体"/>
          <w:color w:val="auto"/>
          <w:highlight w:val="none"/>
        </w:rPr>
        <w:t>8. 重新招标和不再招标</w:t>
      </w:r>
      <w:bookmarkEnd w:id="589"/>
      <w:bookmarkEnd w:id="590"/>
      <w:bookmarkEnd w:id="591"/>
      <w:bookmarkEnd w:id="592"/>
      <w:bookmarkEnd w:id="593"/>
      <w:bookmarkEnd w:id="594"/>
      <w:bookmarkEnd w:id="595"/>
    </w:p>
    <w:p w14:paraId="4D38A18F">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608" w:name="_Toc152045572"/>
      <w:bookmarkStart w:id="609" w:name="_Toc144974540"/>
      <w:bookmarkStart w:id="610" w:name="_Toc152042348"/>
      <w:bookmarkStart w:id="611" w:name="_Toc179632590"/>
      <w:bookmarkStart w:id="612" w:name="_Toc83301733"/>
      <w:bookmarkStart w:id="613" w:name="_Toc95223382"/>
      <w:bookmarkStart w:id="614" w:name="_Toc60061479"/>
      <w:r>
        <w:rPr>
          <w:rFonts w:hint="eastAsia" w:ascii="宋体" w:hAnsi="宋体" w:eastAsia="宋体" w:cs="宋体"/>
          <w:color w:val="auto"/>
          <w:highlight w:val="none"/>
        </w:rPr>
        <w:t>8.1 重新招标</w:t>
      </w:r>
      <w:bookmarkEnd w:id="608"/>
      <w:bookmarkEnd w:id="609"/>
      <w:bookmarkEnd w:id="610"/>
      <w:bookmarkEnd w:id="611"/>
      <w:bookmarkEnd w:id="612"/>
      <w:bookmarkEnd w:id="613"/>
      <w:bookmarkEnd w:id="614"/>
    </w:p>
    <w:p w14:paraId="14E74ABE">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依法必须招标的项目有下列情形之一的，招标人将重新招标：</w:t>
      </w:r>
    </w:p>
    <w:p w14:paraId="0C8D903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（1）投标截止时间止，投标人少于3个的；</w:t>
      </w:r>
    </w:p>
    <w:p w14:paraId="1A247841">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（2）经评标委员会评审后否决所有投标的；</w:t>
      </w:r>
    </w:p>
    <w:p w14:paraId="3903675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（3）中标候选人均未与招标人签订合同的；</w:t>
      </w:r>
    </w:p>
    <w:p w14:paraId="07E813B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（4）法律、法规规定的其他情形。</w:t>
      </w:r>
    </w:p>
    <w:p w14:paraId="01404FF6">
      <w:pPr>
        <w:pStyle w:val="7"/>
        <w:pageBreakBefore w:val="0"/>
        <w:widowControl w:val="0"/>
        <w:kinsoku/>
        <w:wordWrap/>
        <w:overflowPunct/>
        <w:topLinePunct w:val="0"/>
        <w:autoSpaceDE/>
        <w:autoSpaceDN/>
        <w:bidi w:val="0"/>
        <w:spacing w:line="420" w:lineRule="exact"/>
        <w:ind w:firstLine="422" w:firstLineChars="200"/>
        <w:textAlignment w:val="auto"/>
        <w:rPr>
          <w:rFonts w:hint="eastAsia" w:ascii="宋体" w:hAnsi="宋体" w:eastAsia="宋体" w:cs="宋体"/>
          <w:color w:val="auto"/>
          <w:highlight w:val="none"/>
        </w:rPr>
      </w:pPr>
      <w:bookmarkStart w:id="615" w:name="_Toc152045573"/>
      <w:bookmarkStart w:id="616" w:name="_Toc152042349"/>
      <w:bookmarkStart w:id="617" w:name="_Toc60061480"/>
      <w:bookmarkStart w:id="618" w:name="_Toc144974541"/>
      <w:bookmarkStart w:id="619" w:name="_Toc179632591"/>
      <w:bookmarkStart w:id="620" w:name="_Toc95223383"/>
      <w:bookmarkStart w:id="621" w:name="_Toc83301734"/>
      <w:r>
        <w:rPr>
          <w:rFonts w:hint="eastAsia" w:ascii="宋体" w:hAnsi="宋体" w:eastAsia="宋体" w:cs="宋体"/>
          <w:color w:val="auto"/>
          <w:highlight w:val="none"/>
        </w:rPr>
        <w:t>8.2 不再招标</w:t>
      </w:r>
      <w:bookmarkEnd w:id="615"/>
      <w:bookmarkEnd w:id="616"/>
      <w:bookmarkEnd w:id="617"/>
      <w:bookmarkEnd w:id="618"/>
      <w:bookmarkEnd w:id="619"/>
      <w:bookmarkEnd w:id="620"/>
      <w:bookmarkEnd w:id="621"/>
    </w:p>
    <w:p w14:paraId="395FA9F9">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重新招标后投标人仍少于3个或者所有投标被否决的，属于必须审批或核准的工程建设项目，经原审批或核准部门批准后不再进行招标。</w:t>
      </w:r>
    </w:p>
    <w:p w14:paraId="6AE86776">
      <w:pPr>
        <w:pStyle w:val="7"/>
        <w:pageBreakBefore w:val="0"/>
        <w:widowControl w:val="0"/>
        <w:kinsoku/>
        <w:wordWrap/>
        <w:overflowPunct/>
        <w:topLinePunct w:val="0"/>
        <w:autoSpaceDE/>
        <w:autoSpaceDN/>
        <w:bidi w:val="0"/>
        <w:spacing w:beforeLines="50" w:afterLines="50" w:line="42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9. 纪律和监督</w:t>
      </w:r>
      <w:bookmarkEnd w:id="596"/>
      <w:bookmarkEnd w:id="597"/>
      <w:bookmarkEnd w:id="598"/>
      <w:bookmarkEnd w:id="599"/>
      <w:bookmarkEnd w:id="600"/>
      <w:bookmarkEnd w:id="601"/>
    </w:p>
    <w:p w14:paraId="4CA92C32">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22" w:name="_Toc15607"/>
      <w:bookmarkStart w:id="623" w:name="_Toc324404857"/>
      <w:bookmarkStart w:id="624" w:name="_Toc144974543"/>
      <w:bookmarkStart w:id="625" w:name="_Toc179632593"/>
      <w:bookmarkStart w:id="626" w:name="_Toc296590983"/>
      <w:bookmarkStart w:id="627" w:name="_Toc35424932"/>
      <w:bookmarkStart w:id="628" w:name="_Toc506107310"/>
      <w:bookmarkStart w:id="629" w:name="_Toc246996219"/>
      <w:bookmarkStart w:id="630" w:name="_Toc152045575"/>
      <w:bookmarkStart w:id="631" w:name="_Toc246996962"/>
      <w:bookmarkStart w:id="632" w:name="_Toc35425098"/>
      <w:bookmarkStart w:id="633" w:name="_Toc2855"/>
      <w:bookmarkStart w:id="634" w:name="_Toc296602462"/>
      <w:bookmarkStart w:id="635" w:name="_Toc15058895"/>
      <w:bookmarkStart w:id="636" w:name="_Toc247085733"/>
      <w:bookmarkStart w:id="637" w:name="_Toc78803368"/>
      <w:bookmarkStart w:id="638" w:name="_Toc152042351"/>
      <w:r>
        <w:rPr>
          <w:rFonts w:hint="eastAsia" w:ascii="宋体" w:hAnsi="宋体" w:eastAsia="宋体" w:cs="宋体"/>
          <w:color w:val="auto"/>
          <w:highlight w:val="none"/>
        </w:rPr>
        <w:t>9.1 对招标人的纪律要求</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49DC6FF7">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招标人不得泄漏招标投标活动中应当保密的情况和资料，不得与投标人串通损害国家利益、社会公共利益或者他人合法权益。</w:t>
      </w:r>
    </w:p>
    <w:p w14:paraId="68A4A0C7">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39" w:name="_Toc78803369"/>
      <w:bookmarkStart w:id="640" w:name="_Toc15058896"/>
      <w:bookmarkStart w:id="641" w:name="_Toc152042352"/>
      <w:bookmarkStart w:id="642" w:name="_Toc144974544"/>
      <w:bookmarkStart w:id="643" w:name="_Toc35425099"/>
      <w:bookmarkStart w:id="644" w:name="_Toc296602463"/>
      <w:bookmarkStart w:id="645" w:name="_Toc506107311"/>
      <w:bookmarkStart w:id="646" w:name="_Toc247085734"/>
      <w:bookmarkStart w:id="647" w:name="_Toc246996220"/>
      <w:bookmarkStart w:id="648" w:name="_Toc35424933"/>
      <w:bookmarkStart w:id="649" w:name="_Toc179632594"/>
      <w:bookmarkStart w:id="650" w:name="_Toc32177"/>
      <w:bookmarkStart w:id="651" w:name="_Toc19779"/>
      <w:bookmarkStart w:id="652" w:name="_Toc152045576"/>
      <w:bookmarkStart w:id="653" w:name="_Toc324404858"/>
      <w:bookmarkStart w:id="654" w:name="_Toc246996963"/>
      <w:r>
        <w:rPr>
          <w:rFonts w:hint="eastAsia" w:ascii="宋体" w:hAnsi="宋体" w:eastAsia="宋体" w:cs="宋体"/>
          <w:color w:val="auto"/>
          <w:highlight w:val="none"/>
        </w:rPr>
        <w:t>9.2 对投标人的纪律要求</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0ABB96BC">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C2EC713">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55" w:name="_Toc152045577"/>
      <w:bookmarkStart w:id="656" w:name="_Toc247085735"/>
      <w:bookmarkStart w:id="657" w:name="_Toc324404859"/>
      <w:bookmarkStart w:id="658" w:name="_Toc152042353"/>
      <w:bookmarkStart w:id="659" w:name="_Toc246996964"/>
      <w:bookmarkStart w:id="660" w:name="_Toc35424934"/>
      <w:bookmarkStart w:id="661" w:name="_Toc12564"/>
      <w:bookmarkStart w:id="662" w:name="_Toc35425100"/>
      <w:bookmarkStart w:id="663" w:name="_Toc144974545"/>
      <w:bookmarkStart w:id="664" w:name="_Toc506107312"/>
      <w:bookmarkStart w:id="665" w:name="_Toc13043"/>
      <w:bookmarkStart w:id="666" w:name="_Toc296602464"/>
      <w:bookmarkStart w:id="667" w:name="_Toc179632595"/>
      <w:bookmarkStart w:id="668" w:name="_Toc78803370"/>
      <w:bookmarkStart w:id="669" w:name="_Toc246996221"/>
      <w:bookmarkStart w:id="670" w:name="_Toc15058897"/>
      <w:r>
        <w:rPr>
          <w:rFonts w:hint="eastAsia" w:ascii="宋体" w:hAnsi="宋体" w:eastAsia="宋体" w:cs="宋体"/>
          <w:color w:val="auto"/>
          <w:highlight w:val="none"/>
        </w:rPr>
        <w:t>9.3 对评标委员会成员的纪律要求</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482A0CAE">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567F3A90">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71" w:name="_Toc246996222"/>
      <w:bookmarkStart w:id="672" w:name="_Toc35424935"/>
      <w:bookmarkStart w:id="673" w:name="_Toc152042354"/>
      <w:bookmarkStart w:id="674" w:name="_Toc32214"/>
      <w:bookmarkStart w:id="675" w:name="_Toc152045578"/>
      <w:bookmarkStart w:id="676" w:name="_Toc247085736"/>
      <w:bookmarkStart w:id="677" w:name="_Toc179632596"/>
      <w:bookmarkStart w:id="678" w:name="_Toc296602465"/>
      <w:bookmarkStart w:id="679" w:name="_Toc15058898"/>
      <w:bookmarkStart w:id="680" w:name="_Toc506107313"/>
      <w:bookmarkStart w:id="681" w:name="_Toc18329"/>
      <w:bookmarkStart w:id="682" w:name="_Toc246996965"/>
      <w:bookmarkStart w:id="683" w:name="_Toc324404860"/>
      <w:bookmarkStart w:id="684" w:name="_Toc78803371"/>
      <w:bookmarkStart w:id="685" w:name="_Toc35425101"/>
      <w:bookmarkStart w:id="686" w:name="_Toc144974546"/>
      <w:r>
        <w:rPr>
          <w:rFonts w:hint="eastAsia" w:ascii="宋体" w:hAnsi="宋体" w:eastAsia="宋体" w:cs="宋体"/>
          <w:color w:val="auto"/>
          <w:highlight w:val="none"/>
        </w:rPr>
        <w:t>9.4 对与评标活动有关的工作人员的纪律要求</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2E47BC5D">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bookmarkStart w:id="687" w:name="_Toc152042355"/>
      <w:r>
        <w:rPr>
          <w:rFonts w:hint="eastAsia" w:ascii="宋体" w:hAnsi="宋体" w:cs="宋体"/>
          <w:color w:val="auto"/>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687"/>
    </w:p>
    <w:p w14:paraId="13717A0C">
      <w:pPr>
        <w:pStyle w:val="7"/>
        <w:pageBreakBefore w:val="0"/>
        <w:widowControl w:val="0"/>
        <w:kinsoku/>
        <w:wordWrap/>
        <w:overflowPunct/>
        <w:topLinePunct w:val="0"/>
        <w:autoSpaceDE/>
        <w:autoSpaceDN/>
        <w:bidi w:val="0"/>
        <w:spacing w:line="420" w:lineRule="exact"/>
        <w:ind w:firstLine="422" w:firstLineChars="200"/>
        <w:textAlignment w:val="auto"/>
        <w:rPr>
          <w:rFonts w:ascii="宋体" w:hAnsi="宋体" w:eastAsia="宋体" w:cs="宋体"/>
          <w:color w:val="auto"/>
          <w:highlight w:val="none"/>
        </w:rPr>
      </w:pPr>
      <w:bookmarkStart w:id="688" w:name="_Toc296602466"/>
      <w:bookmarkStart w:id="689" w:name="_Toc324404861"/>
      <w:bookmarkStart w:id="690" w:name="_Toc246996223"/>
      <w:bookmarkStart w:id="691" w:name="_Toc506107314"/>
      <w:bookmarkStart w:id="692" w:name="_Toc23607"/>
      <w:bookmarkStart w:id="693" w:name="_Toc179632597"/>
      <w:bookmarkStart w:id="694" w:name="_Toc15058899"/>
      <w:bookmarkStart w:id="695" w:name="_Toc152045579"/>
      <w:bookmarkStart w:id="696" w:name="_Toc2811"/>
      <w:bookmarkStart w:id="697" w:name="_Toc35424936"/>
      <w:bookmarkStart w:id="698" w:name="_Toc78803372"/>
      <w:bookmarkStart w:id="699" w:name="_Toc35425102"/>
      <w:bookmarkStart w:id="700" w:name="_Toc152042356"/>
      <w:bookmarkStart w:id="701" w:name="_Toc246996966"/>
      <w:bookmarkStart w:id="702" w:name="_Toc247085737"/>
      <w:r>
        <w:rPr>
          <w:rFonts w:hint="eastAsia" w:ascii="宋体" w:hAnsi="宋体" w:eastAsia="宋体" w:cs="宋体"/>
          <w:color w:val="auto"/>
          <w:highlight w:val="none"/>
        </w:rPr>
        <w:t>9.5 投诉</w:t>
      </w:r>
      <w:bookmarkEnd w:id="686"/>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14:paraId="5A4327AC">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bookmarkStart w:id="703" w:name="_Toc179632598"/>
      <w:bookmarkStart w:id="704" w:name="_Toc15058900"/>
      <w:bookmarkStart w:id="705" w:name="_Toc31643"/>
      <w:bookmarkStart w:id="706" w:name="_Toc152042357"/>
      <w:bookmarkStart w:id="707" w:name="_Toc152045580"/>
      <w:bookmarkStart w:id="708" w:name="_Toc506107315"/>
      <w:bookmarkStart w:id="709" w:name="_Toc35424937"/>
      <w:bookmarkStart w:id="710" w:name="_Toc16463"/>
      <w:bookmarkStart w:id="711" w:name="_Toc144974547"/>
      <w:bookmarkStart w:id="712" w:name="_Toc247085738"/>
      <w:bookmarkStart w:id="713" w:name="_Toc324404862"/>
      <w:bookmarkStart w:id="714" w:name="_Toc35425103"/>
      <w:bookmarkStart w:id="715" w:name="_Toc246996224"/>
      <w:bookmarkStart w:id="716" w:name="_Toc20669"/>
      <w:bookmarkStart w:id="717" w:name="_Toc246996967"/>
      <w:bookmarkStart w:id="718" w:name="_Toc78803373"/>
      <w:r>
        <w:rPr>
          <w:rFonts w:hint="eastAsia" w:ascii="宋体" w:hAnsi="宋体" w:eastAsia="宋体" w:cs="宋体"/>
          <w:color w:val="auto"/>
          <w:szCs w:val="21"/>
          <w:highlight w:val="none"/>
        </w:rPr>
        <w:t>9.5.1投标人或者其他利害关系人认为招标投标活动违反法律、法规和规章规定的，有权向相关行政监督部门投诉。投诉应当有明确的请求和必要的证明材料。</w:t>
      </w:r>
    </w:p>
    <w:p w14:paraId="67E3BE54">
      <w:pPr>
        <w:pageBreakBefore w:val="0"/>
        <w:widowControl w:val="0"/>
        <w:kinsoku/>
        <w:wordWrap/>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9.5.2投标人和其他利害关系人对招标文件、开标和评标结果事项投诉的，应当按照投标人须知的规定先向招标人提出异议。异议答复期间不计算在第9.5.1项规定的期限内。</w:t>
      </w:r>
    </w:p>
    <w:p w14:paraId="4FEAD4F3">
      <w:pPr>
        <w:pStyle w:val="7"/>
        <w:pageBreakBefore w:val="0"/>
        <w:widowControl w:val="0"/>
        <w:kinsoku/>
        <w:wordWrap/>
        <w:overflowPunct/>
        <w:topLinePunct w:val="0"/>
        <w:autoSpaceDE/>
        <w:autoSpaceDN/>
        <w:bidi w:val="0"/>
        <w:spacing w:beforeLines="50" w:afterLines="50" w:line="42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10.需要补充的其他内容</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0045BA9A">
      <w:pPr>
        <w:pageBreakBefore w:val="0"/>
        <w:widowControl w:val="0"/>
        <w:kinsoku/>
        <w:wordWrap/>
        <w:overflowPunct/>
        <w:topLinePunct w:val="0"/>
        <w:autoSpaceDE/>
        <w:autoSpaceDN/>
        <w:bidi w:val="0"/>
        <w:spacing w:line="420" w:lineRule="exact"/>
        <w:ind w:firstLine="420" w:firstLineChars="200"/>
        <w:jc w:val="left"/>
        <w:textAlignment w:val="auto"/>
        <w:rPr>
          <w:rFonts w:ascii="宋体" w:hAnsi="宋体" w:cs="宋体"/>
          <w:color w:val="auto"/>
          <w:szCs w:val="21"/>
          <w:highlight w:val="none"/>
        </w:rPr>
      </w:pPr>
      <w:bookmarkStart w:id="719" w:name="_Toc15058901"/>
      <w:r>
        <w:rPr>
          <w:rFonts w:hint="eastAsia" w:ascii="宋体" w:hAnsi="宋体" w:cs="宋体"/>
          <w:color w:val="auto"/>
          <w:szCs w:val="21"/>
          <w:highlight w:val="none"/>
        </w:rPr>
        <w:t>需要补充的其他内容：见投标人须知前附表。</w:t>
      </w:r>
      <w:bookmarkEnd w:id="719"/>
    </w:p>
    <w:p w14:paraId="33B215FF">
      <w:pPr>
        <w:spacing w:line="440" w:lineRule="exact"/>
        <w:jc w:val="left"/>
        <w:rPr>
          <w:rFonts w:ascii="宋体" w:hAnsi="宋体" w:cs="宋体"/>
          <w:color w:val="auto"/>
          <w:szCs w:val="21"/>
          <w:highlight w:val="none"/>
        </w:rPr>
      </w:pPr>
    </w:p>
    <w:p w14:paraId="20C1C40C">
      <w:pPr>
        <w:pageBreakBefore/>
        <w:spacing w:beforeLines="80" w:afterLines="80" w:line="440" w:lineRule="exact"/>
        <w:jc w:val="center"/>
        <w:outlineLvl w:val="0"/>
        <w:rPr>
          <w:rFonts w:ascii="宋体"/>
          <w:b/>
          <w:color w:val="auto"/>
          <w:sz w:val="32"/>
          <w:szCs w:val="32"/>
          <w:highlight w:val="none"/>
        </w:rPr>
      </w:pPr>
      <w:bookmarkStart w:id="720" w:name="_Toc78803375"/>
      <w:bookmarkStart w:id="721" w:name="_Toc10676"/>
      <w:bookmarkStart w:id="722" w:name="_Toc5501"/>
      <w:r>
        <w:rPr>
          <w:rFonts w:hint="eastAsia" w:ascii="宋体"/>
          <w:b/>
          <w:color w:val="auto"/>
          <w:sz w:val="32"/>
          <w:szCs w:val="32"/>
          <w:highlight w:val="none"/>
        </w:rPr>
        <w:t>第二章  资格审查</w:t>
      </w:r>
      <w:bookmarkEnd w:id="602"/>
      <w:r>
        <w:rPr>
          <w:rFonts w:hint="eastAsia" w:ascii="宋体"/>
          <w:b/>
          <w:color w:val="auto"/>
          <w:sz w:val="32"/>
          <w:szCs w:val="32"/>
          <w:highlight w:val="none"/>
        </w:rPr>
        <w:t>办法</w:t>
      </w:r>
      <w:bookmarkEnd w:id="603"/>
      <w:bookmarkEnd w:id="604"/>
      <w:bookmarkEnd w:id="605"/>
      <w:bookmarkEnd w:id="606"/>
      <w:bookmarkEnd w:id="720"/>
      <w:bookmarkEnd w:id="721"/>
      <w:bookmarkEnd w:id="722"/>
    </w:p>
    <w:p w14:paraId="339E13AA">
      <w:pPr>
        <w:keepNext w:val="0"/>
        <w:keepLines w:val="0"/>
        <w:widowControl w:val="0"/>
        <w:suppressLineNumbers w:val="0"/>
        <w:adjustRightInd w:val="0"/>
        <w:snapToGrid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bookmarkStart w:id="723" w:name="_Toc506107318"/>
      <w:bookmarkStart w:id="724" w:name="_Toc35424940"/>
      <w:bookmarkStart w:id="725" w:name="_Toc35425106"/>
      <w:bookmarkStart w:id="726" w:name="_Toc15058903"/>
      <w:bookmarkStart w:id="727" w:name="_Toc324404865"/>
      <w:r>
        <w:rPr>
          <w:rFonts w:hint="eastAsia" w:ascii="宋体" w:hAnsi="宋体" w:eastAsia="宋体" w:cs="宋体"/>
          <w:color w:val="auto"/>
          <w:kern w:val="2"/>
          <w:sz w:val="21"/>
          <w:szCs w:val="21"/>
          <w:highlight w:val="none"/>
          <w:lang w:val="en-US" w:eastAsia="zh-CN" w:bidi="ar"/>
        </w:rPr>
        <w:t>先对解密成功的投标人报价按计算标准计算得分后汇总，总得分按照从高到低进行排序（如总得分相等，以投标报价低的优先，投标报价仍相等，由评标委员会或招标人随机抽取确定排名，不得并列）。对排序前三名的投标人资信、技术、商务标文件进行评审并确定中标候选人。若排序前三名的投标人资信或技术或商务标文件评审不通过，则按得分排序递补</w:t>
      </w:r>
      <w:r>
        <w:rPr>
          <w:rFonts w:hint="eastAsia" w:ascii="宋体" w:hAnsi="宋体" w:eastAsia="宋体" w:cs="宋体"/>
          <w:b/>
          <w:bCs w:val="0"/>
          <w:color w:val="auto"/>
          <w:kern w:val="2"/>
          <w:sz w:val="21"/>
          <w:szCs w:val="21"/>
          <w:highlight w:val="none"/>
          <w:lang w:val="en-US" w:eastAsia="zh-CN" w:bidi="ar"/>
        </w:rPr>
        <w:t>至3家</w:t>
      </w:r>
      <w:r>
        <w:rPr>
          <w:rFonts w:hint="eastAsia" w:ascii="宋体" w:hAnsi="宋体" w:eastAsia="宋体" w:cs="宋体"/>
          <w:color w:val="auto"/>
          <w:kern w:val="2"/>
          <w:sz w:val="21"/>
          <w:szCs w:val="21"/>
          <w:highlight w:val="none"/>
          <w:lang w:val="en-US" w:eastAsia="zh-CN" w:bidi="ar"/>
        </w:rPr>
        <w:t>投标人进行资信、技术、商务文件进行评审。</w:t>
      </w:r>
    </w:p>
    <w:p w14:paraId="1D8DE46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cs="Times New Roman"/>
          <w:b/>
          <w:bCs/>
          <w:color w:val="auto"/>
          <w:kern w:val="2"/>
          <w:sz w:val="28"/>
          <w:szCs w:val="28"/>
          <w:highlight w:val="none"/>
        </w:rPr>
      </w:pPr>
      <w:r>
        <w:rPr>
          <w:rFonts w:hint="eastAsia" w:ascii="宋体" w:hAnsi="宋体" w:eastAsia="宋体" w:cs="宋体"/>
          <w:b/>
          <w:bCs/>
          <w:color w:val="auto"/>
          <w:kern w:val="2"/>
          <w:sz w:val="28"/>
          <w:szCs w:val="28"/>
          <w:highlight w:val="none"/>
          <w:lang w:val="en-US" w:eastAsia="zh-CN" w:bidi="ar"/>
        </w:rPr>
        <w:t>（一）得分计算</w:t>
      </w:r>
    </w:p>
    <w:tbl>
      <w:tblPr>
        <w:tblStyle w:val="46"/>
        <w:tblW w:w="9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266"/>
        <w:gridCol w:w="7685"/>
      </w:tblGrid>
      <w:tr w14:paraId="3A53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3" w:hRule="atLeast"/>
          <w:jc w:val="center"/>
        </w:trPr>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5118AC5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条款号</w:t>
            </w:r>
          </w:p>
        </w:tc>
        <w:tc>
          <w:tcPr>
            <w:tcW w:w="7685" w:type="dxa"/>
            <w:tcBorders>
              <w:top w:val="single" w:color="auto" w:sz="4" w:space="0"/>
              <w:left w:val="single" w:color="auto" w:sz="4" w:space="0"/>
              <w:bottom w:val="single" w:color="auto" w:sz="4" w:space="0"/>
              <w:right w:val="single" w:color="auto" w:sz="4" w:space="0"/>
            </w:tcBorders>
            <w:shd w:val="clear" w:color="auto" w:fill="auto"/>
            <w:vAlign w:val="center"/>
          </w:tcPr>
          <w:p w14:paraId="3D0795F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计算标准</w:t>
            </w:r>
          </w:p>
        </w:tc>
      </w:tr>
      <w:tr w14:paraId="6307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14:paraId="6A27287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报价评分</w:t>
            </w:r>
          </w:p>
          <w:p w14:paraId="0C7FB354">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（100分）</w:t>
            </w:r>
          </w:p>
        </w:tc>
        <w:tc>
          <w:tcPr>
            <w:tcW w:w="7685" w:type="dxa"/>
            <w:tcBorders>
              <w:top w:val="single" w:color="auto" w:sz="4" w:space="0"/>
              <w:left w:val="single" w:color="auto" w:sz="4" w:space="0"/>
              <w:bottom w:val="single" w:color="auto" w:sz="4" w:space="0"/>
              <w:right w:val="single" w:color="auto" w:sz="4" w:space="0"/>
            </w:tcBorders>
            <w:shd w:val="clear" w:color="auto" w:fill="auto"/>
            <w:vAlign w:val="center"/>
          </w:tcPr>
          <w:p w14:paraId="5A52CBCE">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得分按下列步骤计算：</w:t>
            </w:r>
          </w:p>
          <w:p w14:paraId="4600B359">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第一步：计算B值。</w:t>
            </w:r>
          </w:p>
          <w:p w14:paraId="43E79B1D">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①本项目T取值为50。</w:t>
            </w:r>
          </w:p>
          <w:p w14:paraId="5AAB0A88">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②投标报价不超过A值的投标人数量为M。</w:t>
            </w:r>
          </w:p>
          <w:p w14:paraId="7F05B14E">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③若M 未超过 T 时，B值为符合上述条件的M个投标人投标报价的算术平均值。</w:t>
            </w:r>
          </w:p>
          <w:p w14:paraId="3990DF30">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④若M 超过 T 时，B值为符合上述条件的M个投标人投标报价中去除(M-T)/2【M-T 为奇数时，则为(M-T+1)/2】个最高价和(M-T)/2【M-T为奇数时，则为(M-T-1)/2】个最低价后，剩余有效投标报价的算术平均值（如去高去低的最后一名存在报价相同的，则通过随机抽取确定被去除的投标人。只保留T个投标人的投标报价）。</w:t>
            </w:r>
          </w:p>
          <w:p w14:paraId="4699E5D8">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第二步：计算评标基准价F值。</w:t>
            </w:r>
          </w:p>
          <w:p w14:paraId="23FA3A86">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①F=B×（1-K），其中K为调整系数，K的取值为-0.5%（1号），0%（2号），0.5%（3号），1.0%（4号），1.5%（5号）。</w:t>
            </w:r>
          </w:p>
          <w:p w14:paraId="25F40008">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第三步：计算报价偏差率。</w:t>
            </w:r>
          </w:p>
          <w:p w14:paraId="587E8F78">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①偏差率=|（投标报价-评标基准价）/评标基准价|×100%</w:t>
            </w:r>
          </w:p>
          <w:p w14:paraId="4CC7269D">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第四步：计算报价得分</w:t>
            </w:r>
          </w:p>
          <w:p w14:paraId="418C901D">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①投标报价等于评标基准价的得满分。</w:t>
            </w:r>
          </w:p>
          <w:p w14:paraId="3B066451">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②投标报价高于评标基准价的，投标报价得分=报价满分值-偏差率×100×1</w:t>
            </w:r>
          </w:p>
          <w:p w14:paraId="367CE395">
            <w:pPr>
              <w:keepNext w:val="0"/>
              <w:keepLines w:val="0"/>
              <w:widowControl w:val="0"/>
              <w:suppressLineNumbers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③投标报价低于评标基准价的，投标报价得分=报价满分值-偏差率×100×0.5</w:t>
            </w:r>
          </w:p>
          <w:p w14:paraId="6A11EFDE">
            <w:pPr>
              <w:keepNext w:val="0"/>
              <w:keepLines w:val="0"/>
              <w:widowControl w:val="0"/>
              <w:suppressLineNumbers w:val="0"/>
              <w:adjustRightInd w:val="0"/>
              <w:snapToGrid w:val="0"/>
              <w:spacing w:before="0" w:beforeAutospacing="0" w:after="0" w:afterAutospacing="0" w:line="5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注：计算过程中，B值、评标基准价F值、偏差率、报价得分均保留两位小数，小数点后第三位四舍五入。</w:t>
            </w:r>
          </w:p>
        </w:tc>
      </w:tr>
    </w:tbl>
    <w:p w14:paraId="33149AA1">
      <w:pPr>
        <w:keepNext w:val="0"/>
        <w:keepLines w:val="0"/>
        <w:widowControl w:val="0"/>
        <w:suppressLineNumbers w:val="0"/>
        <w:adjustRightInd w:val="0"/>
        <w:snapToGrid w:val="0"/>
        <w:spacing w:before="0" w:beforeAutospacing="0" w:after="0" w:afterAutospacing="0" w:line="560" w:lineRule="exact"/>
        <w:ind w:left="0" w:right="0" w:firstLine="316" w:firstLineChars="150"/>
        <w:jc w:val="both"/>
        <w:rPr>
          <w:rFonts w:hint="eastAsia" w:ascii="黑体" w:hAnsi="宋体" w:eastAsia="黑体" w:cs="黑体"/>
          <w:b/>
          <w:bCs w:val="0"/>
          <w:color w:val="auto"/>
          <w:kern w:val="2"/>
          <w:sz w:val="21"/>
          <w:szCs w:val="21"/>
          <w:highlight w:val="none"/>
        </w:rPr>
      </w:pPr>
      <w:r>
        <w:rPr>
          <w:rFonts w:hint="eastAsia" w:ascii="黑体" w:hAnsi="宋体" w:eastAsia="黑体" w:cs="黑体"/>
          <w:b/>
          <w:bCs w:val="0"/>
          <w:color w:val="auto"/>
          <w:kern w:val="2"/>
          <w:sz w:val="21"/>
          <w:szCs w:val="21"/>
          <w:highlight w:val="none"/>
          <w:lang w:val="en-US" w:eastAsia="zh-CN" w:bidi="ar"/>
        </w:rPr>
        <w:t>注：</w:t>
      </w:r>
      <w:r>
        <w:rPr>
          <w:rFonts w:hint="eastAsia" w:ascii="黑体" w:hAnsi="宋体" w:eastAsia="黑体" w:cs="黑体"/>
          <w:color w:val="auto"/>
          <w:kern w:val="2"/>
          <w:sz w:val="21"/>
          <w:szCs w:val="21"/>
          <w:highlight w:val="none"/>
          <w:lang w:val="en-US" w:eastAsia="zh-CN" w:bidi="ar"/>
        </w:rPr>
        <w:t>1、</w:t>
      </w:r>
      <w:r>
        <w:rPr>
          <w:rFonts w:hint="eastAsia" w:ascii="黑体" w:hAnsi="宋体" w:eastAsia="黑体" w:cs="黑体"/>
          <w:b/>
          <w:bCs/>
          <w:color w:val="auto"/>
          <w:kern w:val="2"/>
          <w:sz w:val="21"/>
          <w:szCs w:val="21"/>
          <w:highlight w:val="none"/>
          <w:lang w:val="en-US" w:eastAsia="zh-CN" w:bidi="ar"/>
        </w:rPr>
        <w:t>投标人总报价如超过A值，A值=</w:t>
      </w:r>
      <w:r>
        <w:rPr>
          <w:rFonts w:hint="eastAsia" w:ascii="黑体" w:hAnsi="宋体" w:eastAsia="黑体" w:cs="黑体"/>
          <w:b/>
          <w:bCs/>
          <w:color w:val="auto"/>
          <w:kern w:val="2"/>
          <w:sz w:val="21"/>
          <w:szCs w:val="21"/>
          <w:highlight w:val="none"/>
          <w:u w:val="single"/>
          <w:lang w:val="en-US" w:eastAsia="zh-CN" w:bidi="ar"/>
        </w:rPr>
        <w:t xml:space="preserve">最高投标限价×（1-J） +（暂列金额+暂估价）×1.09×J（其中J= 8%，该值由招标人根据具体项目情况自行设定），则商务标不得分，且该投标报价不参与B值计算。 </w:t>
      </w:r>
    </w:p>
    <w:p w14:paraId="6ECAF714">
      <w:pPr>
        <w:keepNext w:val="0"/>
        <w:keepLines w:val="0"/>
        <w:widowControl w:val="0"/>
        <w:suppressLineNumbers w:val="0"/>
        <w:adjustRightInd w:val="0"/>
        <w:snapToGrid w:val="0"/>
        <w:spacing w:before="0" w:beforeAutospacing="0" w:after="0" w:afterAutospacing="0" w:line="560" w:lineRule="exact"/>
        <w:ind w:left="0" w:right="0" w:firstLine="315" w:firstLineChars="15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2、本表所称投标报价是指</w:t>
      </w:r>
      <w:r>
        <w:rPr>
          <w:rFonts w:hint="eastAsia" w:ascii="宋体" w:hAnsi="宋体" w:eastAsia="宋体" w:cs="宋体"/>
          <w:b/>
          <w:bCs w:val="0"/>
          <w:color w:val="auto"/>
          <w:kern w:val="2"/>
          <w:sz w:val="21"/>
          <w:szCs w:val="21"/>
          <w:highlight w:val="none"/>
          <w:lang w:val="en-US" w:eastAsia="zh-CN" w:bidi="ar"/>
        </w:rPr>
        <w:t>解密成功后开标记录表中投标人的报价</w:t>
      </w:r>
      <w:r>
        <w:rPr>
          <w:rFonts w:hint="eastAsia" w:ascii="宋体" w:hAnsi="宋体" w:eastAsia="宋体" w:cs="宋体"/>
          <w:color w:val="auto"/>
          <w:kern w:val="2"/>
          <w:sz w:val="21"/>
          <w:szCs w:val="21"/>
          <w:highlight w:val="none"/>
          <w:lang w:val="en-US" w:eastAsia="zh-CN" w:bidi="ar"/>
        </w:rPr>
        <w:t>，报价以元为单位，保留两位小数，小数点后第三位四舍五入。</w:t>
      </w:r>
    </w:p>
    <w:p w14:paraId="29E62D91">
      <w:pPr>
        <w:keepNext w:val="0"/>
        <w:keepLines w:val="0"/>
        <w:widowControl w:val="0"/>
        <w:suppressLineNumbers w:val="0"/>
        <w:adjustRightInd w:val="0"/>
        <w:snapToGrid w:val="0"/>
        <w:spacing w:before="0" w:beforeAutospacing="0" w:after="0" w:afterAutospacing="0" w:line="560" w:lineRule="exact"/>
        <w:ind w:left="0" w:right="0" w:firstLine="315" w:firstLineChars="15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3、K值（评标基准价系数）的抽取：招标人现场随机抽取K值，评标委员会根据抽取的K值计算F值。</w:t>
      </w:r>
    </w:p>
    <w:p w14:paraId="37875F83">
      <w:pPr>
        <w:keepNext w:val="0"/>
        <w:keepLines w:val="0"/>
        <w:widowControl w:val="0"/>
        <w:suppressLineNumbers w:val="0"/>
        <w:adjustRightInd w:val="0"/>
        <w:snapToGrid w:val="0"/>
        <w:spacing w:before="0" w:beforeAutospacing="0" w:after="0" w:afterAutospacing="0" w:line="560" w:lineRule="exact"/>
        <w:ind w:left="0" w:right="0" w:firstLine="316" w:firstLineChars="150"/>
        <w:jc w:val="both"/>
        <w:rPr>
          <w:rFonts w:hint="default"/>
          <w:color w:val="auto"/>
          <w:highlight w:val="none"/>
          <w:lang w:val="en-US"/>
        </w:rPr>
      </w:pPr>
      <w:r>
        <w:rPr>
          <w:rFonts w:hint="eastAsia" w:ascii="宋体" w:hAnsi="宋体" w:eastAsia="宋体" w:cs="宋体"/>
          <w:b/>
          <w:bCs/>
          <w:color w:val="auto"/>
          <w:kern w:val="2"/>
          <w:sz w:val="21"/>
          <w:szCs w:val="21"/>
          <w:highlight w:val="none"/>
          <w:lang w:val="en-US" w:eastAsia="zh-CN" w:bidi="ar"/>
        </w:rPr>
        <w:t>4、评标办法中的评标基准价计算出来后，除数字计算错误外，其他情况均不再调整。</w:t>
      </w:r>
    </w:p>
    <w:p w14:paraId="663679ED">
      <w:pPr>
        <w:spacing w:beforeLines="50" w:afterLines="50" w:line="440" w:lineRule="exact"/>
        <w:jc w:val="center"/>
        <w:rPr>
          <w:rFonts w:hint="eastAsia" w:ascii="宋体" w:hAnsi="宋体" w:cs="宋体"/>
          <w:b/>
          <w:bCs/>
          <w:color w:val="auto"/>
          <w:sz w:val="28"/>
          <w:szCs w:val="22"/>
          <w:highlight w:val="none"/>
        </w:rPr>
      </w:pPr>
    </w:p>
    <w:p w14:paraId="2C0EA906">
      <w:pPr>
        <w:spacing w:beforeLines="50" w:afterLines="50" w:line="440" w:lineRule="exact"/>
        <w:jc w:val="center"/>
        <w:rPr>
          <w:rFonts w:hint="eastAsia" w:ascii="宋体" w:hAnsi="宋体" w:cs="宋体"/>
          <w:b/>
          <w:bCs/>
          <w:color w:val="auto"/>
          <w:sz w:val="28"/>
          <w:szCs w:val="22"/>
          <w:highlight w:val="none"/>
        </w:rPr>
      </w:pPr>
    </w:p>
    <w:p w14:paraId="5AAB9C2F">
      <w:pPr>
        <w:spacing w:beforeLines="50" w:afterLines="50" w:line="440" w:lineRule="exact"/>
        <w:jc w:val="center"/>
        <w:rPr>
          <w:rFonts w:hint="eastAsia" w:ascii="宋体" w:hAnsi="宋体" w:cs="宋体"/>
          <w:b/>
          <w:bCs/>
          <w:color w:val="auto"/>
          <w:sz w:val="28"/>
          <w:szCs w:val="22"/>
          <w:highlight w:val="none"/>
        </w:rPr>
      </w:pPr>
    </w:p>
    <w:p w14:paraId="4832DBA4">
      <w:pPr>
        <w:rPr>
          <w:rFonts w:hint="eastAsia" w:ascii="宋体" w:hAnsi="宋体" w:cs="宋体"/>
          <w:b/>
          <w:bCs/>
          <w:color w:val="auto"/>
          <w:sz w:val="28"/>
          <w:szCs w:val="22"/>
          <w:highlight w:val="none"/>
          <w:lang w:eastAsia="zh-CN"/>
        </w:rPr>
      </w:pPr>
      <w:r>
        <w:rPr>
          <w:rFonts w:hint="eastAsia" w:ascii="宋体" w:hAnsi="宋体" w:cs="宋体"/>
          <w:b/>
          <w:bCs/>
          <w:color w:val="auto"/>
          <w:sz w:val="28"/>
          <w:szCs w:val="22"/>
          <w:highlight w:val="none"/>
          <w:lang w:eastAsia="zh-CN"/>
        </w:rPr>
        <w:br w:type="page"/>
      </w:r>
    </w:p>
    <w:p w14:paraId="1680BB4F">
      <w:pPr>
        <w:spacing w:beforeLines="50" w:afterLines="50" w:line="440" w:lineRule="exact"/>
        <w:jc w:val="center"/>
        <w:rPr>
          <w:rFonts w:ascii="宋体" w:hAnsi="宋体" w:cs="宋体"/>
          <w:b/>
          <w:bCs/>
          <w:color w:val="auto"/>
          <w:sz w:val="28"/>
          <w:szCs w:val="22"/>
          <w:highlight w:val="none"/>
        </w:rPr>
      </w:pPr>
      <w:r>
        <w:rPr>
          <w:rFonts w:hint="eastAsia" w:ascii="宋体" w:hAnsi="宋体" w:cs="宋体"/>
          <w:b/>
          <w:bCs/>
          <w:color w:val="auto"/>
          <w:sz w:val="28"/>
          <w:szCs w:val="22"/>
          <w:highlight w:val="none"/>
          <w:lang w:eastAsia="zh-CN"/>
        </w:rPr>
        <w:t>（</w:t>
      </w:r>
      <w:r>
        <w:rPr>
          <w:rFonts w:hint="eastAsia" w:ascii="宋体" w:hAnsi="宋体" w:cs="宋体"/>
          <w:b/>
          <w:bCs/>
          <w:color w:val="auto"/>
          <w:sz w:val="28"/>
          <w:szCs w:val="22"/>
          <w:highlight w:val="none"/>
          <w:lang w:val="en-US" w:eastAsia="zh-CN"/>
        </w:rPr>
        <w:t>二</w:t>
      </w:r>
      <w:r>
        <w:rPr>
          <w:rFonts w:hint="eastAsia" w:ascii="宋体" w:hAnsi="宋体" w:cs="宋体"/>
          <w:b/>
          <w:bCs/>
          <w:color w:val="auto"/>
          <w:sz w:val="28"/>
          <w:szCs w:val="22"/>
          <w:highlight w:val="none"/>
          <w:lang w:eastAsia="zh-CN"/>
        </w:rPr>
        <w:t>）</w:t>
      </w:r>
      <w:r>
        <w:rPr>
          <w:rFonts w:hint="eastAsia" w:ascii="宋体" w:hAnsi="宋体" w:cs="宋体"/>
          <w:b/>
          <w:bCs/>
          <w:color w:val="auto"/>
          <w:sz w:val="28"/>
          <w:szCs w:val="22"/>
          <w:highlight w:val="none"/>
        </w:rPr>
        <w:t>资格审查办法前附表</w:t>
      </w:r>
      <w:bookmarkEnd w:id="723"/>
      <w:bookmarkEnd w:id="724"/>
      <w:bookmarkEnd w:id="725"/>
      <w:bookmarkEnd w:id="726"/>
      <w:bookmarkEnd w:id="727"/>
    </w:p>
    <w:p w14:paraId="4132067E">
      <w:pPr>
        <w:spacing w:beforeLines="50" w:afterLines="50" w:line="440" w:lineRule="exact"/>
        <w:jc w:val="center"/>
        <w:rPr>
          <w:b/>
          <w:bCs/>
          <w:color w:val="auto"/>
          <w:sz w:val="24"/>
          <w:highlight w:val="none"/>
        </w:rPr>
      </w:pPr>
      <w:r>
        <w:rPr>
          <w:rFonts w:hint="eastAsia"/>
          <w:b/>
          <w:bCs/>
          <w:color w:val="auto"/>
          <w:sz w:val="24"/>
          <w:highlight w:val="none"/>
        </w:rPr>
        <w:t>资信证明文件评审</w:t>
      </w:r>
    </w:p>
    <w:tbl>
      <w:tblPr>
        <w:tblStyle w:val="46"/>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58"/>
        <w:gridCol w:w="6183"/>
        <w:gridCol w:w="1860"/>
      </w:tblGrid>
      <w:tr w14:paraId="4465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023" w:type="dxa"/>
            <w:gridSpan w:val="2"/>
            <w:noWrap/>
            <w:vAlign w:val="center"/>
          </w:tcPr>
          <w:p w14:paraId="09922EC7">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序号</w:t>
            </w:r>
          </w:p>
        </w:tc>
        <w:tc>
          <w:tcPr>
            <w:tcW w:w="6183" w:type="dxa"/>
            <w:noWrap/>
            <w:vAlign w:val="center"/>
          </w:tcPr>
          <w:p w14:paraId="224F837E">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审查内容</w:t>
            </w:r>
          </w:p>
        </w:tc>
        <w:tc>
          <w:tcPr>
            <w:tcW w:w="1860" w:type="dxa"/>
            <w:noWrap/>
            <w:vAlign w:val="center"/>
          </w:tcPr>
          <w:p w14:paraId="2342EE03">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评审标准</w:t>
            </w:r>
          </w:p>
        </w:tc>
      </w:tr>
      <w:tr w14:paraId="06CF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65" w:type="dxa"/>
            <w:vMerge w:val="restart"/>
            <w:noWrap/>
            <w:vAlign w:val="center"/>
          </w:tcPr>
          <w:p w14:paraId="4CD03B1E">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1</w:t>
            </w:r>
          </w:p>
        </w:tc>
        <w:tc>
          <w:tcPr>
            <w:tcW w:w="1258" w:type="dxa"/>
            <w:vMerge w:val="restart"/>
            <w:noWrap/>
            <w:vAlign w:val="center"/>
          </w:tcPr>
          <w:p w14:paraId="46DBBDD6">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审查资料</w:t>
            </w:r>
          </w:p>
        </w:tc>
        <w:tc>
          <w:tcPr>
            <w:tcW w:w="6183" w:type="dxa"/>
            <w:noWrap/>
            <w:vAlign w:val="center"/>
          </w:tcPr>
          <w:p w14:paraId="3298B6D0">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法定代表人身份证明文件和本人有效身份证(或法定代表人授权委托书和委托代理人有效身份证)</w:t>
            </w:r>
          </w:p>
        </w:tc>
        <w:tc>
          <w:tcPr>
            <w:tcW w:w="1860" w:type="dxa"/>
            <w:noWrap/>
            <w:vAlign w:val="center"/>
          </w:tcPr>
          <w:p w14:paraId="31B50CA2">
            <w:pPr>
              <w:keepNext w:val="0"/>
              <w:keepLines w:val="0"/>
              <w:suppressLineNumbers w:val="0"/>
              <w:spacing w:before="0" w:beforeAutospacing="0" w:after="0" w:afterAutospacing="0" w:line="44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检验电子标书</w:t>
            </w:r>
          </w:p>
        </w:tc>
      </w:tr>
      <w:tr w14:paraId="7CB7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3AAEA56F">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79D14290">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center"/>
          </w:tcPr>
          <w:p w14:paraId="536A8E59">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诚信投标承诺书</w:t>
            </w:r>
          </w:p>
        </w:tc>
        <w:tc>
          <w:tcPr>
            <w:tcW w:w="1860" w:type="dxa"/>
            <w:vMerge w:val="restart"/>
            <w:noWrap/>
            <w:vAlign w:val="center"/>
          </w:tcPr>
          <w:p w14:paraId="7AF8AB1F">
            <w:pPr>
              <w:keepNext w:val="0"/>
              <w:keepLines w:val="0"/>
              <w:suppressLineNumbers w:val="0"/>
              <w:spacing w:before="0" w:beforeAutospacing="0" w:after="0" w:afterAutospacing="0" w:line="44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检验电子标书</w:t>
            </w:r>
          </w:p>
        </w:tc>
      </w:tr>
      <w:tr w14:paraId="54DE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5" w:type="dxa"/>
            <w:vMerge w:val="continue"/>
            <w:noWrap/>
            <w:vAlign w:val="center"/>
          </w:tcPr>
          <w:p w14:paraId="3876B9E4">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67819606">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center"/>
          </w:tcPr>
          <w:p w14:paraId="1FF1A326">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企业法人营业执照</w:t>
            </w:r>
          </w:p>
        </w:tc>
        <w:tc>
          <w:tcPr>
            <w:tcW w:w="1860" w:type="dxa"/>
            <w:vMerge w:val="continue"/>
            <w:noWrap/>
            <w:vAlign w:val="center"/>
          </w:tcPr>
          <w:p w14:paraId="60646E32">
            <w:pPr>
              <w:keepNext w:val="0"/>
              <w:keepLines w:val="0"/>
              <w:suppressLineNumbers w:val="0"/>
              <w:spacing w:before="0" w:beforeAutospacing="0" w:after="0" w:afterAutospacing="0" w:line="440" w:lineRule="exact"/>
              <w:ind w:left="0" w:right="0"/>
              <w:rPr>
                <w:rFonts w:hint="default" w:ascii="宋体" w:hAnsi="宋体" w:cs="宋体"/>
                <w:b/>
                <w:color w:val="auto"/>
                <w:szCs w:val="21"/>
                <w:highlight w:val="none"/>
              </w:rPr>
            </w:pPr>
          </w:p>
        </w:tc>
      </w:tr>
      <w:tr w14:paraId="1D10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noWrap/>
            <w:vAlign w:val="center"/>
          </w:tcPr>
          <w:p w14:paraId="5BC803E7">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317BE10C">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center"/>
          </w:tcPr>
          <w:p w14:paraId="7C50C838">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企业资质证书</w:t>
            </w:r>
          </w:p>
        </w:tc>
        <w:tc>
          <w:tcPr>
            <w:tcW w:w="1860" w:type="dxa"/>
            <w:vMerge w:val="continue"/>
            <w:noWrap/>
            <w:vAlign w:val="center"/>
          </w:tcPr>
          <w:p w14:paraId="4591BAB0">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14:paraId="12D4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65" w:type="dxa"/>
            <w:vMerge w:val="continue"/>
            <w:noWrap/>
            <w:vAlign w:val="center"/>
          </w:tcPr>
          <w:p w14:paraId="221C2EB0">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44CD5E17">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top"/>
          </w:tcPr>
          <w:p w14:paraId="1439A2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企业安全生产许可证</w:t>
            </w:r>
          </w:p>
        </w:tc>
        <w:tc>
          <w:tcPr>
            <w:tcW w:w="1860" w:type="dxa"/>
            <w:vMerge w:val="continue"/>
            <w:noWrap/>
            <w:vAlign w:val="center"/>
          </w:tcPr>
          <w:p w14:paraId="42889EE9">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14:paraId="0824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65" w:type="dxa"/>
            <w:vMerge w:val="continue"/>
            <w:noWrap/>
            <w:vAlign w:val="center"/>
          </w:tcPr>
          <w:p w14:paraId="49D7041B">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58A48EB5">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top"/>
          </w:tcPr>
          <w:p w14:paraId="533328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default" w:ascii="宋体" w:hAnsi="宋体" w:cs="宋体"/>
                <w:color w:val="auto"/>
                <w:szCs w:val="21"/>
                <w:highlight w:val="none"/>
              </w:rPr>
            </w:pPr>
            <w:r>
              <w:rPr>
                <w:rFonts w:hint="eastAsia" w:ascii="宋体" w:hAnsi="宋体" w:cs="宋体"/>
                <w:color w:val="auto"/>
                <w:szCs w:val="21"/>
                <w:highlight w:val="none"/>
              </w:rPr>
              <w:t>项目经理（建造师）有效身份证、注册证书以及安全生产考核合格证书（B证）</w:t>
            </w:r>
          </w:p>
        </w:tc>
        <w:tc>
          <w:tcPr>
            <w:tcW w:w="1860" w:type="dxa"/>
            <w:vMerge w:val="continue"/>
            <w:noWrap/>
            <w:vAlign w:val="center"/>
          </w:tcPr>
          <w:p w14:paraId="16CBB1A7">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14:paraId="2EBF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65" w:type="dxa"/>
            <w:vMerge w:val="continue"/>
            <w:noWrap/>
            <w:vAlign w:val="center"/>
          </w:tcPr>
          <w:p w14:paraId="1D00DED7">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2D35A3FA">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top"/>
          </w:tcPr>
          <w:p w14:paraId="42D85A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投标人的法定代表人(或委托代理人)和拟任项目经理（建造师）须持有社保部门出具的本单位（或其不具备独立法人资格的分公司）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tc>
        <w:tc>
          <w:tcPr>
            <w:tcW w:w="1860" w:type="dxa"/>
            <w:vMerge w:val="continue"/>
            <w:noWrap/>
            <w:vAlign w:val="center"/>
          </w:tcPr>
          <w:p w14:paraId="5C79B4D5">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14:paraId="0BD3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vMerge w:val="continue"/>
            <w:noWrap/>
            <w:vAlign w:val="center"/>
          </w:tcPr>
          <w:p w14:paraId="322A555E">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p>
        </w:tc>
        <w:tc>
          <w:tcPr>
            <w:tcW w:w="1258" w:type="dxa"/>
            <w:vMerge w:val="continue"/>
            <w:noWrap/>
            <w:vAlign w:val="center"/>
          </w:tcPr>
          <w:p w14:paraId="08D5F02F">
            <w:pPr>
              <w:keepNext w:val="0"/>
              <w:keepLines w:val="0"/>
              <w:suppressLineNumbers w:val="0"/>
              <w:spacing w:before="0" w:beforeAutospacing="0" w:after="0" w:afterAutospacing="0" w:line="440" w:lineRule="exact"/>
              <w:ind w:left="0" w:right="0"/>
              <w:jc w:val="center"/>
              <w:rPr>
                <w:rFonts w:hint="default" w:ascii="宋体" w:hAnsi="宋体" w:cs="宋体"/>
                <w:b/>
                <w:bCs/>
                <w:color w:val="auto"/>
                <w:szCs w:val="21"/>
                <w:highlight w:val="none"/>
              </w:rPr>
            </w:pPr>
          </w:p>
        </w:tc>
        <w:tc>
          <w:tcPr>
            <w:tcW w:w="6183" w:type="dxa"/>
            <w:noWrap/>
            <w:vAlign w:val="top"/>
          </w:tcPr>
          <w:p w14:paraId="7AB5FCCE">
            <w:pPr>
              <w:keepNext w:val="0"/>
              <w:keepLines w:val="0"/>
              <w:suppressLineNumbers w:val="0"/>
              <w:spacing w:before="0" w:beforeAutospacing="0" w:after="0" w:afterAutospacing="0" w:line="440" w:lineRule="exact"/>
              <w:ind w:left="0" w:right="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项目管理机构</w:t>
            </w:r>
          </w:p>
        </w:tc>
        <w:tc>
          <w:tcPr>
            <w:tcW w:w="1860" w:type="dxa"/>
            <w:vMerge w:val="continue"/>
            <w:noWrap/>
            <w:vAlign w:val="center"/>
          </w:tcPr>
          <w:p w14:paraId="2A216D0B">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bl>
    <w:p w14:paraId="0FCF003C">
      <w:pPr>
        <w:spacing w:line="44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重要提示：</w:t>
      </w:r>
    </w:p>
    <w:p w14:paraId="09F388F7">
      <w:pPr>
        <w:spacing w:line="440" w:lineRule="exact"/>
        <w:ind w:firstLine="422" w:firstLineChars="200"/>
        <w:jc w:val="left"/>
        <w:rPr>
          <w:rFonts w:hint="eastAsia" w:ascii="宋体" w:hAnsi="宋体" w:cs="宋体"/>
          <w:b/>
          <w:bCs/>
          <w:color w:val="auto"/>
          <w:szCs w:val="21"/>
          <w:highlight w:val="none"/>
          <w:lang w:eastAsia="zh-CN"/>
        </w:rPr>
      </w:pP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）评标专家在检验电子投标文件过程中，如果由于投标人自身原因导致评标专家无法查看并检验电子投标文件中相关资料的，视为无效标处理。即使投标人将原件携带至现场的，同样按无效标处理</w:t>
      </w:r>
      <w:r>
        <w:rPr>
          <w:rFonts w:hint="eastAsia" w:ascii="宋体" w:hAnsi="宋体" w:cs="宋体"/>
          <w:b/>
          <w:bCs/>
          <w:color w:val="auto"/>
          <w:szCs w:val="21"/>
          <w:highlight w:val="none"/>
          <w:lang w:eastAsia="zh-CN"/>
        </w:rPr>
        <w:t>。</w:t>
      </w:r>
    </w:p>
    <w:p w14:paraId="5CF22E8D">
      <w:pPr>
        <w:spacing w:line="44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lang w:eastAsia="zh-CN"/>
        </w:rPr>
        <w:t>）投标人拟委任项目经理为注册建造师（含一级、二级）的，须提供有效的纸质版电子证书。投标人打印纸质电子证书后，应由建造师本人在个人签名栏手写本人签名，或附其本人知情承诺，未手写签名或与签名图片笔迹不一致的，该打印的纸质证书无效（其他省份建造师电子证书执行该省现行政策规定）。投标人应对其提供的纸质版电子证书真实性、有效性负责。投标人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r>
        <w:rPr>
          <w:rFonts w:hint="eastAsia" w:ascii="宋体" w:hAnsi="宋体" w:cs="宋体"/>
          <w:b/>
          <w:bCs/>
          <w:color w:val="auto"/>
          <w:szCs w:val="21"/>
          <w:highlight w:val="none"/>
        </w:rPr>
        <w:t>。</w:t>
      </w:r>
    </w:p>
    <w:p w14:paraId="4418AF8B">
      <w:pPr>
        <w:pStyle w:val="7"/>
        <w:spacing w:beforeLines="50" w:afterLines="50"/>
        <w:ind w:firstLine="422" w:firstLineChars="200"/>
        <w:rPr>
          <w:rFonts w:ascii="宋体" w:hAnsi="宋体" w:eastAsia="宋体" w:cs="宋体"/>
          <w:color w:val="auto"/>
          <w:highlight w:val="none"/>
        </w:rPr>
      </w:pPr>
      <w:bookmarkStart w:id="728" w:name="_Toc35424942"/>
      <w:bookmarkStart w:id="729" w:name="_Toc324404867"/>
      <w:bookmarkStart w:id="730" w:name="_Toc506107320"/>
      <w:bookmarkStart w:id="731" w:name="_Toc15058909"/>
      <w:bookmarkStart w:id="732" w:name="_Toc12549"/>
      <w:bookmarkStart w:id="733" w:name="_Toc78803377"/>
      <w:bookmarkStart w:id="734" w:name="_Toc35425108"/>
      <w:r>
        <w:rPr>
          <w:rFonts w:hint="eastAsia" w:ascii="宋体" w:hAnsi="宋体" w:eastAsia="宋体" w:cs="宋体"/>
          <w:color w:val="auto"/>
          <w:highlight w:val="none"/>
        </w:rPr>
        <w:t>2.审查办法</w:t>
      </w:r>
      <w:bookmarkEnd w:id="728"/>
      <w:bookmarkEnd w:id="729"/>
      <w:bookmarkEnd w:id="730"/>
      <w:bookmarkEnd w:id="731"/>
      <w:bookmarkEnd w:id="732"/>
      <w:bookmarkEnd w:id="733"/>
      <w:bookmarkEnd w:id="734"/>
    </w:p>
    <w:p w14:paraId="1C727AD6">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由资格审查委员会（评标委员会）按资格审查办法前附表中资格审查必要合格条件评审表要求对投标人审查资料进行核验。</w:t>
      </w:r>
    </w:p>
    <w:p w14:paraId="24C02976">
      <w:pPr>
        <w:pStyle w:val="7"/>
        <w:spacing w:beforeLines="50" w:afterLines="50"/>
        <w:ind w:firstLine="422" w:firstLineChars="200"/>
        <w:rPr>
          <w:rFonts w:ascii="宋体" w:hAnsi="宋体" w:eastAsia="宋体" w:cs="宋体"/>
          <w:color w:val="auto"/>
          <w:highlight w:val="none"/>
        </w:rPr>
      </w:pPr>
      <w:bookmarkStart w:id="735" w:name="_Toc15626"/>
      <w:bookmarkStart w:id="736" w:name="_Toc78803378"/>
      <w:bookmarkStart w:id="737" w:name="_Toc506107321"/>
      <w:bookmarkStart w:id="738" w:name="_Toc35425109"/>
      <w:bookmarkStart w:id="739" w:name="_Toc324404868"/>
      <w:bookmarkStart w:id="740" w:name="_Toc35424943"/>
      <w:bookmarkStart w:id="741" w:name="_Toc15058910"/>
      <w:r>
        <w:rPr>
          <w:rFonts w:hint="eastAsia" w:ascii="宋体" w:hAnsi="宋体" w:eastAsia="宋体" w:cs="宋体"/>
          <w:color w:val="auto"/>
          <w:highlight w:val="none"/>
        </w:rPr>
        <w:t>3.资格审查委员会和审查标准</w:t>
      </w:r>
      <w:bookmarkEnd w:id="735"/>
      <w:bookmarkEnd w:id="736"/>
      <w:bookmarkEnd w:id="737"/>
      <w:bookmarkEnd w:id="738"/>
      <w:bookmarkEnd w:id="739"/>
      <w:bookmarkEnd w:id="740"/>
      <w:bookmarkEnd w:id="741"/>
    </w:p>
    <w:p w14:paraId="247912DA">
      <w:pPr>
        <w:spacing w:line="440" w:lineRule="exact"/>
        <w:ind w:firstLine="420" w:firstLineChars="200"/>
        <w:jc w:val="left"/>
        <w:rPr>
          <w:rFonts w:hint="eastAsia" w:ascii="宋体" w:hAnsi="宋体" w:eastAsia="宋体" w:cs="宋体"/>
          <w:color w:val="auto"/>
          <w:szCs w:val="21"/>
          <w:highlight w:val="none"/>
        </w:rPr>
      </w:pPr>
      <w:bookmarkStart w:id="742" w:name="_Toc10330"/>
      <w:bookmarkStart w:id="743" w:name="_Toc324404869"/>
      <w:bookmarkStart w:id="744" w:name="_Toc15058911"/>
      <w:bookmarkStart w:id="745" w:name="_Toc506107322"/>
      <w:bookmarkStart w:id="746" w:name="_Toc35425110"/>
      <w:bookmarkStart w:id="747" w:name="_Toc78803379"/>
      <w:bookmarkStart w:id="748" w:name="_Toc35424944"/>
      <w:r>
        <w:rPr>
          <w:rFonts w:hint="eastAsia" w:ascii="宋体" w:hAnsi="宋体" w:eastAsia="宋体" w:cs="宋体"/>
          <w:color w:val="auto"/>
          <w:szCs w:val="21"/>
          <w:highlight w:val="none"/>
        </w:rPr>
        <w:t>3.1资格审查由招标人依法组建的资格审查委员会（或评标委员会）负责。审查标准见资格审查办法前附表。</w:t>
      </w:r>
    </w:p>
    <w:p w14:paraId="131E6942">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3.2由资格审查委员会（评标委员会）按资格审查办法前附表要求对投标人的审查资料进行核验。投标申请人有下列情形之一的，其资格审查为不合格： </w:t>
      </w:r>
    </w:p>
    <w:p w14:paraId="2745C2C3">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未上传电子标书或电子标书经审查不合格；</w:t>
      </w:r>
    </w:p>
    <w:p w14:paraId="719EFAFF">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未</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val="en-US" w:eastAsia="zh-CN"/>
        </w:rPr>
        <w:t>招标公告</w:t>
      </w:r>
      <w:r>
        <w:rPr>
          <w:rFonts w:hint="eastAsia" w:ascii="宋体" w:hAnsi="宋体" w:eastAsia="宋体" w:cs="宋体"/>
          <w:color w:val="auto"/>
          <w:szCs w:val="21"/>
          <w:highlight w:val="none"/>
        </w:rPr>
        <w:t>要求提交投标保证金的；</w:t>
      </w:r>
    </w:p>
    <w:p w14:paraId="415A82FD">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）法律、法规规定的其他情形。</w:t>
      </w:r>
    </w:p>
    <w:p w14:paraId="6B78F5C3">
      <w:pPr>
        <w:pStyle w:val="7"/>
        <w:spacing w:beforeLines="50" w:afterLines="50"/>
        <w:ind w:firstLine="422" w:firstLineChars="200"/>
        <w:rPr>
          <w:rFonts w:ascii="宋体" w:hAnsi="宋体" w:eastAsia="宋体" w:cs="宋体"/>
          <w:color w:val="auto"/>
          <w:highlight w:val="none"/>
        </w:rPr>
      </w:pPr>
      <w:r>
        <w:rPr>
          <w:rFonts w:hint="eastAsia" w:ascii="宋体" w:hAnsi="宋体" w:eastAsia="宋体" w:cs="宋体"/>
          <w:color w:val="auto"/>
          <w:highlight w:val="none"/>
        </w:rPr>
        <w:t>4.审查结果</w:t>
      </w:r>
      <w:bookmarkEnd w:id="742"/>
      <w:bookmarkEnd w:id="743"/>
      <w:bookmarkEnd w:id="744"/>
      <w:bookmarkEnd w:id="745"/>
      <w:bookmarkEnd w:id="746"/>
      <w:bookmarkEnd w:id="747"/>
      <w:bookmarkEnd w:id="748"/>
    </w:p>
    <w:p w14:paraId="34F56804">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只有通过资格审查的投标人才能进入下一步的评标程序。</w:t>
      </w:r>
      <w:bookmarkStart w:id="749" w:name="_Toc506107323"/>
    </w:p>
    <w:p w14:paraId="10BAEF2B">
      <w:pPr>
        <w:pStyle w:val="6"/>
        <w:numPr>
          <w:ilvl w:val="0"/>
          <w:numId w:val="2"/>
        </w:numPr>
        <w:spacing w:beforeLines="50" w:afterLines="50"/>
        <w:rPr>
          <w:rFonts w:hint="eastAsia" w:ascii="Arial" w:hAnsi="Arial"/>
          <w:color w:val="auto"/>
          <w:kern w:val="0"/>
          <w:sz w:val="32"/>
          <w:szCs w:val="32"/>
          <w:highlight w:val="none"/>
        </w:rPr>
      </w:pPr>
      <w:bookmarkStart w:id="750" w:name="_Toc15058912"/>
      <w:bookmarkStart w:id="751" w:name="_Toc35424945"/>
      <w:bookmarkStart w:id="752" w:name="_Toc35425111"/>
      <w:r>
        <w:rPr>
          <w:rFonts w:hint="eastAsia"/>
          <w:color w:val="auto"/>
          <w:highlight w:val="none"/>
        </w:rPr>
        <w:br w:type="page"/>
      </w:r>
      <w:bookmarkStart w:id="753" w:name="_Toc78803380"/>
      <w:r>
        <w:rPr>
          <w:rFonts w:hint="eastAsia" w:ascii="Arial" w:hAnsi="Arial"/>
          <w:color w:val="auto"/>
          <w:kern w:val="0"/>
          <w:sz w:val="32"/>
          <w:szCs w:val="32"/>
          <w:highlight w:val="none"/>
        </w:rPr>
        <w:t xml:space="preserve"> </w:t>
      </w:r>
      <w:bookmarkStart w:id="754" w:name="_Toc32602"/>
      <w:bookmarkStart w:id="755" w:name="_Toc1286"/>
      <w:bookmarkStart w:id="756" w:name="_Toc30518"/>
      <w:r>
        <w:rPr>
          <w:rFonts w:hint="eastAsia" w:ascii="Arial" w:hAnsi="Arial"/>
          <w:color w:val="auto"/>
          <w:kern w:val="0"/>
          <w:sz w:val="32"/>
          <w:szCs w:val="32"/>
          <w:highlight w:val="none"/>
        </w:rPr>
        <w:t>评标办法</w:t>
      </w:r>
      <w:bookmarkEnd w:id="607"/>
      <w:bookmarkEnd w:id="749"/>
      <w:bookmarkEnd w:id="750"/>
      <w:bookmarkEnd w:id="751"/>
      <w:bookmarkEnd w:id="752"/>
      <w:bookmarkEnd w:id="753"/>
      <w:bookmarkEnd w:id="754"/>
      <w:bookmarkEnd w:id="755"/>
      <w:bookmarkEnd w:id="756"/>
    </w:p>
    <w:p w14:paraId="48D38EB9">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4"/>
          <w:szCs w:val="24"/>
          <w:highlight w:val="none"/>
          <w:lang w:val="en-US" w:eastAsia="zh-CN"/>
        </w:rPr>
      </w:pPr>
      <w:r>
        <w:rPr>
          <w:rFonts w:hint="eastAsia" w:ascii="Times New Roman" w:hAnsi="Times New Roman" w:eastAsia="宋体" w:cs="Times New Roman"/>
          <w:b/>
          <w:color w:val="auto"/>
          <w:sz w:val="24"/>
          <w:szCs w:val="24"/>
          <w:highlight w:val="none"/>
          <w:lang w:val="en-US" w:eastAsia="zh-CN"/>
        </w:rPr>
        <w:t>（一）</w:t>
      </w:r>
      <w:r>
        <w:rPr>
          <w:rFonts w:hint="eastAsia" w:cs="Times New Roman"/>
          <w:b/>
          <w:color w:val="auto"/>
          <w:sz w:val="24"/>
          <w:szCs w:val="24"/>
          <w:highlight w:val="none"/>
          <w:lang w:val="en-US" w:eastAsia="zh-CN"/>
        </w:rPr>
        <w:t>技术标评审</w:t>
      </w:r>
    </w:p>
    <w:tbl>
      <w:tblPr>
        <w:tblStyle w:val="46"/>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8"/>
        <w:gridCol w:w="1276"/>
        <w:gridCol w:w="675"/>
        <w:gridCol w:w="545"/>
        <w:gridCol w:w="2135"/>
        <w:gridCol w:w="4452"/>
      </w:tblGrid>
      <w:tr w14:paraId="3036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3" w:hRule="atLeast"/>
          <w:jc w:val="center"/>
        </w:trPr>
        <w:tc>
          <w:tcPr>
            <w:tcW w:w="21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4D0C0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条款号</w:t>
            </w: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54D889E">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w:t>
            </w:r>
            <w:bookmarkStart w:id="757" w:name="_Toc246996995"/>
            <w:r>
              <w:rPr>
                <w:rFonts w:hint="eastAsia" w:ascii="宋体" w:hAnsi="宋体" w:eastAsia="宋体" w:cs="宋体"/>
                <w:color w:val="auto"/>
                <w:kern w:val="2"/>
                <w:sz w:val="21"/>
                <w:szCs w:val="21"/>
                <w:highlight w:val="none"/>
                <w:lang w:val="en-US" w:eastAsia="zh-CN" w:bidi="ar"/>
              </w:rPr>
              <w:t>审因</w:t>
            </w:r>
            <w:bookmarkEnd w:id="757"/>
            <w:bookmarkStart w:id="758" w:name="_Toc60061510"/>
            <w:bookmarkEnd w:id="758"/>
            <w:r>
              <w:rPr>
                <w:rFonts w:hint="eastAsia" w:ascii="宋体" w:hAnsi="宋体" w:eastAsia="宋体" w:cs="宋体"/>
                <w:color w:val="auto"/>
                <w:kern w:val="2"/>
                <w:sz w:val="21"/>
                <w:szCs w:val="21"/>
                <w:highlight w:val="none"/>
                <w:lang w:val="en-US" w:eastAsia="zh-CN" w:bidi="ar"/>
              </w:rPr>
              <w:t>素</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69E200F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评审标准</w:t>
            </w:r>
          </w:p>
        </w:tc>
      </w:tr>
      <w:tr w14:paraId="4F42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8" w:type="dxa"/>
            <w:vMerge w:val="restart"/>
            <w:tcBorders>
              <w:top w:val="nil"/>
              <w:left w:val="single" w:color="auto" w:sz="4" w:space="0"/>
              <w:bottom w:val="single" w:color="auto" w:sz="4" w:space="0"/>
              <w:right w:val="single" w:color="auto" w:sz="4" w:space="0"/>
            </w:tcBorders>
            <w:shd w:val="clear" w:color="auto" w:fill="auto"/>
            <w:vAlign w:val="center"/>
          </w:tcPr>
          <w:p w14:paraId="66660A2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4.1.1</w:t>
            </w: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401A1021">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形式评审</w:t>
            </w:r>
          </w:p>
          <w:p w14:paraId="4FEB3C91">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标准</w:t>
            </w: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29D4602">
            <w:pPr>
              <w:keepNext w:val="0"/>
              <w:keepLines w:val="0"/>
              <w:widowControl w:val="0"/>
              <w:suppressLineNumbers w:val="0"/>
              <w:adjustRightInd w:val="0"/>
              <w:snapToGrid w:val="0"/>
              <w:spacing w:before="0" w:beforeAutospacing="0" w:after="0" w:afterAutospacing="0" w:line="560" w:lineRule="exact"/>
              <w:ind w:left="0" w:right="0"/>
              <w:jc w:val="center"/>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投标人名称</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15A3D27B">
            <w:pPr>
              <w:keepNext w:val="0"/>
              <w:keepLines w:val="0"/>
              <w:widowControl w:val="0"/>
              <w:suppressLineNumbers w:val="0"/>
              <w:adjustRightInd w:val="0"/>
              <w:snapToGrid w:val="0"/>
              <w:spacing w:before="0" w:beforeAutospacing="0" w:after="0" w:afterAutospacing="0" w:line="560" w:lineRule="exact"/>
              <w:ind w:left="0" w:right="0"/>
              <w:jc w:val="both"/>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与营业执照、资质证书、安全生产许可证一致。</w:t>
            </w:r>
          </w:p>
        </w:tc>
      </w:tr>
      <w:tr w14:paraId="6A7B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A55D6C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4B56D9F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A68B1A">
            <w:pPr>
              <w:keepNext w:val="0"/>
              <w:keepLines w:val="0"/>
              <w:widowControl w:val="0"/>
              <w:suppressLineNumbers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投标文件格式</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3D226910">
            <w:pPr>
              <w:keepNext w:val="0"/>
              <w:keepLines w:val="0"/>
              <w:widowControl w:val="0"/>
              <w:suppressLineNumbers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符合第八章“投标文件格式”的要求，否则经评委会一致认定后</w:t>
            </w:r>
            <w:r>
              <w:rPr>
                <w:rFonts w:hint="default" w:ascii="Times New Roman" w:hAnsi="Times New Roman" w:eastAsia="宋体" w:cs="Times New Roman"/>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按照无效投标处理。</w:t>
            </w:r>
          </w:p>
        </w:tc>
      </w:tr>
      <w:tr w14:paraId="0C58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restart"/>
            <w:tcBorders>
              <w:top w:val="nil"/>
              <w:left w:val="single" w:color="auto" w:sz="4" w:space="0"/>
              <w:bottom w:val="single" w:color="auto" w:sz="4" w:space="0"/>
              <w:right w:val="single" w:color="auto" w:sz="4" w:space="0"/>
            </w:tcBorders>
            <w:shd w:val="clear" w:color="auto" w:fill="auto"/>
            <w:vAlign w:val="center"/>
          </w:tcPr>
          <w:p w14:paraId="41F5CF3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4.1.2</w:t>
            </w: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0F910284">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响应性评审标准（初步评审）</w:t>
            </w: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FBBF235">
            <w:pPr>
              <w:keepNext w:val="0"/>
              <w:keepLines w:val="0"/>
              <w:widowControl w:val="0"/>
              <w:suppressLineNumbers w:val="0"/>
              <w:adjustRightInd w:val="0"/>
              <w:snapToGrid w:val="0"/>
              <w:spacing w:before="0" w:beforeAutospacing="0" w:after="0" w:afterAutospacing="0" w:line="560" w:lineRule="exact"/>
              <w:ind w:left="0" w:right="0"/>
              <w:jc w:val="center"/>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投标内容</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095B983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符合第一章“投标人须知”规定。</w:t>
            </w:r>
          </w:p>
        </w:tc>
      </w:tr>
      <w:tr w14:paraId="1053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B42C3B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2EB25B2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6502B0E">
            <w:pPr>
              <w:keepNext w:val="0"/>
              <w:keepLines w:val="0"/>
              <w:widowControl w:val="0"/>
              <w:suppressLineNumbers w:val="0"/>
              <w:adjustRightInd w:val="0"/>
              <w:snapToGrid w:val="0"/>
              <w:spacing w:before="0" w:beforeAutospacing="0" w:after="0" w:afterAutospacing="0" w:line="560" w:lineRule="exact"/>
              <w:ind w:left="0" w:right="0"/>
              <w:jc w:val="center"/>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权利义务</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397FBAA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符合第四章“合同条款及格式”规定。</w:t>
            </w:r>
          </w:p>
        </w:tc>
      </w:tr>
      <w:tr w14:paraId="3E10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7"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3116214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62788B2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33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59C493">
            <w:pPr>
              <w:keepNext w:val="0"/>
              <w:keepLines w:val="0"/>
              <w:widowControl w:val="0"/>
              <w:suppressLineNumbers w:val="0"/>
              <w:adjustRightInd w:val="0"/>
              <w:snapToGrid w:val="0"/>
              <w:spacing w:before="0" w:beforeAutospacing="0" w:after="0" w:afterAutospacing="0" w:line="560" w:lineRule="exact"/>
              <w:ind w:left="0" w:right="0"/>
              <w:jc w:val="center"/>
              <w:textAlignment w:val="baseline"/>
              <w:rPr>
                <w:rFonts w:hint="default" w:ascii="Times New Roman" w:hAnsi="Times New Roman" w:cs="Times New Roman"/>
                <w:color w:val="auto"/>
                <w:kern w:val="2"/>
                <w:sz w:val="21"/>
                <w:szCs w:val="21"/>
                <w:highlight w:val="none"/>
                <w:vertAlign w:val="baseline"/>
              </w:rPr>
            </w:pPr>
            <w:r>
              <w:rPr>
                <w:rFonts w:hint="eastAsia" w:ascii="宋体" w:hAnsi="宋体" w:eastAsia="宋体" w:cs="宋体"/>
                <w:color w:val="auto"/>
                <w:kern w:val="2"/>
                <w:sz w:val="21"/>
                <w:szCs w:val="21"/>
                <w:highlight w:val="none"/>
                <w:vertAlign w:val="baseline"/>
                <w:lang w:val="en-US" w:eastAsia="zh-CN" w:bidi="ar"/>
              </w:rPr>
              <w:t>技术标准和要求</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184EF80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符合第七章“技术标准和要求”规定。</w:t>
            </w:r>
          </w:p>
        </w:tc>
      </w:tr>
      <w:tr w14:paraId="6C46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16E6DA7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restart"/>
            <w:tcBorders>
              <w:top w:val="nil"/>
              <w:left w:val="single" w:color="auto" w:sz="4" w:space="0"/>
              <w:bottom w:val="single" w:color="auto" w:sz="4" w:space="0"/>
              <w:right w:val="single" w:color="auto" w:sz="4" w:space="0"/>
            </w:tcBorders>
            <w:shd w:val="clear" w:color="auto" w:fill="auto"/>
            <w:vAlign w:val="center"/>
          </w:tcPr>
          <w:p w14:paraId="349F450E">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响应性评审标准（符合性评审）</w:t>
            </w:r>
          </w:p>
        </w:tc>
        <w:tc>
          <w:tcPr>
            <w:tcW w:w="675" w:type="dxa"/>
            <w:vMerge w:val="restart"/>
            <w:tcBorders>
              <w:top w:val="nil"/>
              <w:left w:val="single" w:color="auto" w:sz="4" w:space="0"/>
              <w:bottom w:val="single" w:color="auto" w:sz="4" w:space="0"/>
              <w:right w:val="single" w:color="auto" w:sz="4" w:space="0"/>
            </w:tcBorders>
            <w:shd w:val="clear" w:color="auto" w:fill="auto"/>
            <w:vAlign w:val="center"/>
          </w:tcPr>
          <w:p w14:paraId="7128F72A">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p w14:paraId="2D6B9A78">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p w14:paraId="20E9B1F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p w14:paraId="584515F2">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p w14:paraId="196E400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p>
          <w:p w14:paraId="134DDB26">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施工组织设计</w:t>
            </w: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71100799">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35CDEC6F">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工程概况</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32421377">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描述是否准确。</w:t>
            </w:r>
          </w:p>
        </w:tc>
      </w:tr>
      <w:tr w14:paraId="66B3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C1BB1F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04B4567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2D593DBF">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4B53979E">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1FB5449B">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主要施工方法</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4BDCFD4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各主要分部施工方法符合项目实际，须有详尽的施工技术方案，工艺先进、方法科学合理、可行，能指导具体施工并确保安全。</w:t>
            </w:r>
          </w:p>
        </w:tc>
      </w:tr>
      <w:tr w14:paraId="3C96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59FA70D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7C96488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79E542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5825537D">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3171FFF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拟投入的主要物资计划</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7D036EBE">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投入的施工材料有详细计划且计划周密，数量、选型配置、进场数量、时间安排合理，满足施工需要。</w:t>
            </w:r>
          </w:p>
        </w:tc>
      </w:tr>
      <w:tr w14:paraId="0D62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003A3AB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2E76876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6BB1CF0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06FEE859">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369C46E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拟投入的主要施工机械、设备计划</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090402C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投入的施工机械、设备、机具有详细计划且计划周密，设备数量、选型配置、进场数量、时间 合理、满足施工需要。</w:t>
            </w:r>
          </w:p>
        </w:tc>
      </w:tr>
      <w:tr w14:paraId="23DD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4"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5BBEC32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18A228A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367389D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1C0ACAC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2B14F91E">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劳动力安排计划</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4AE4015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各主要施工工序应有详细周密的劳动力安排计划明细，有各工种劳动力安排计划。劳动力投入经济合理，满足施工需要。</w:t>
            </w:r>
          </w:p>
        </w:tc>
      </w:tr>
      <w:tr w14:paraId="7A5C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4"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199A7BC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5D2C22D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22EBA4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28131DE2">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46C3E28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确保工程质量的技术组织措施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76E6709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施工项目应有专门的质量技术管理班子和制度，且人员配备合理，制度健全，主要工序应有质量技术保证措施和手段，自控体系完整，能有效的保证技术质量，达到承诺的质量标准。</w:t>
            </w:r>
          </w:p>
        </w:tc>
      </w:tr>
      <w:tr w14:paraId="0FE6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4"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5D6B432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32FA847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5D31E9A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5A528644">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2C9EE6AE">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确保安全生产的技术组织措施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1375568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施工项目应有专门的安全管理人员和制度，且人员配备合理，制度健全，各道工序安全技术措施针对性强，符合实际且满足有关安全技术标准要求。现场防火、社会治安安全措施得力。</w:t>
            </w:r>
          </w:p>
        </w:tc>
      </w:tr>
      <w:tr w14:paraId="66D0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99"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71E7EDA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0CA68D3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3DAA26C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23C99298">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3042B431">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确保工期的技术组织措施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6EBD14D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tc>
      </w:tr>
      <w:tr w14:paraId="7151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4"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6E66234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5844D33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4FCF79E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3E581D5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2D3690D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确保文明施工的技术组织措施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0247CEE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针对本工程特点，应有现场文明施工计划，环境保护措施，且计划措施内容应达到“安全文明示范工地”标准。各项措施周全、具体、有效。有具体实现现场文明施工目标的承诺。</w:t>
            </w:r>
          </w:p>
        </w:tc>
      </w:tr>
      <w:tr w14:paraId="4563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6743769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04F727E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16230D5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4C523961">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69371D47">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工程施工重点和难点及保证措施</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18758B16">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是否正确（本条内容须与前附表要求对应）。</w:t>
            </w:r>
          </w:p>
        </w:tc>
      </w:tr>
      <w:tr w14:paraId="69B2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52A02BC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37C609E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94A0F1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634F73F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13768A6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危大工程安全管理（如有）</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top"/>
          </w:tcPr>
          <w:p w14:paraId="635C2547">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根据招标人在招标文件中列明的危大工程清单及结合招标项目实际情况补充完善危大工程清单，编制专项施工方案并明确相应的安全管理措施。</w:t>
            </w:r>
          </w:p>
        </w:tc>
      </w:tr>
      <w:tr w14:paraId="7014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D6E4A0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0931DBC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46A535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6D9A5089">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712E0A1A">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施工总平面布置图</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2117534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应有施工总平面布置图，安排科学合理，符合本项目施工实际要求。</w:t>
            </w:r>
          </w:p>
        </w:tc>
      </w:tr>
      <w:tr w14:paraId="1CBE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415C58C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565318A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7827857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0619CA11">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57C06002">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施工组织设计整体</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303E773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针对性、完整性符合要求。</w:t>
            </w:r>
          </w:p>
        </w:tc>
      </w:tr>
      <w:tr w14:paraId="4B33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jc w:val="center"/>
        </w:trPr>
        <w:tc>
          <w:tcPr>
            <w:tcW w:w="908" w:type="dxa"/>
            <w:vMerge w:val="continue"/>
            <w:tcBorders>
              <w:top w:val="nil"/>
              <w:left w:val="single" w:color="auto" w:sz="4" w:space="0"/>
              <w:bottom w:val="single" w:color="auto" w:sz="4" w:space="0"/>
              <w:right w:val="single" w:color="auto" w:sz="4" w:space="0"/>
            </w:tcBorders>
            <w:shd w:val="clear" w:color="auto" w:fill="auto"/>
            <w:vAlign w:val="center"/>
          </w:tcPr>
          <w:p w14:paraId="3B4EB86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76" w:type="dxa"/>
            <w:vMerge w:val="continue"/>
            <w:tcBorders>
              <w:top w:val="nil"/>
              <w:left w:val="single" w:color="auto" w:sz="4" w:space="0"/>
              <w:bottom w:val="single" w:color="auto" w:sz="4" w:space="0"/>
              <w:right w:val="single" w:color="auto" w:sz="4" w:space="0"/>
            </w:tcBorders>
            <w:shd w:val="clear" w:color="auto" w:fill="auto"/>
            <w:vAlign w:val="center"/>
          </w:tcPr>
          <w:p w14:paraId="3B16D3A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675" w:type="dxa"/>
            <w:vMerge w:val="continue"/>
            <w:tcBorders>
              <w:top w:val="nil"/>
              <w:left w:val="single" w:color="auto" w:sz="4" w:space="0"/>
              <w:bottom w:val="single" w:color="auto" w:sz="4" w:space="0"/>
              <w:right w:val="single" w:color="auto" w:sz="4" w:space="0"/>
            </w:tcBorders>
            <w:shd w:val="clear" w:color="auto" w:fill="auto"/>
            <w:vAlign w:val="center"/>
          </w:tcPr>
          <w:p w14:paraId="01B4438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545" w:type="dxa"/>
            <w:tcBorders>
              <w:top w:val="single" w:color="auto" w:sz="4" w:space="0"/>
              <w:left w:val="single" w:color="auto" w:sz="4" w:space="0"/>
              <w:bottom w:val="single" w:color="auto" w:sz="4" w:space="0"/>
              <w:right w:val="single" w:color="auto" w:sz="4" w:space="0"/>
            </w:tcBorders>
            <w:shd w:val="clear" w:color="auto" w:fill="auto"/>
            <w:vAlign w:val="center"/>
          </w:tcPr>
          <w:p w14:paraId="4DA9E4A7">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w:t>
            </w:r>
          </w:p>
        </w:tc>
        <w:tc>
          <w:tcPr>
            <w:tcW w:w="2135" w:type="dxa"/>
            <w:tcBorders>
              <w:top w:val="single" w:color="auto" w:sz="4" w:space="0"/>
              <w:left w:val="single" w:color="auto" w:sz="4" w:space="0"/>
              <w:bottom w:val="single" w:color="auto" w:sz="4" w:space="0"/>
              <w:right w:val="single" w:color="auto" w:sz="4" w:space="0"/>
            </w:tcBorders>
            <w:shd w:val="clear" w:color="auto" w:fill="auto"/>
            <w:vAlign w:val="center"/>
          </w:tcPr>
          <w:p w14:paraId="4884AD9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其他内容（如有）</w:t>
            </w:r>
          </w:p>
        </w:tc>
        <w:tc>
          <w:tcPr>
            <w:tcW w:w="4452" w:type="dxa"/>
            <w:tcBorders>
              <w:top w:val="single" w:color="auto" w:sz="4" w:space="0"/>
              <w:left w:val="single" w:color="auto" w:sz="4" w:space="0"/>
              <w:bottom w:val="single" w:color="auto" w:sz="4" w:space="0"/>
              <w:right w:val="single" w:color="auto" w:sz="4" w:space="0"/>
            </w:tcBorders>
            <w:shd w:val="clear" w:color="auto" w:fill="auto"/>
            <w:vAlign w:val="center"/>
          </w:tcPr>
          <w:p w14:paraId="2E822155">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p>
        </w:tc>
      </w:tr>
    </w:tbl>
    <w:p w14:paraId="65A1DC2A">
      <w:pPr>
        <w:keepNext w:val="0"/>
        <w:keepLines w:val="0"/>
        <w:widowControl w:val="0"/>
        <w:suppressLineNumbers w:val="0"/>
        <w:adjustRightInd w:val="0"/>
        <w:snapToGrid w:val="0"/>
        <w:spacing w:before="0" w:beforeAutospacing="0" w:after="0" w:afterAutospacing="0" w:line="560" w:lineRule="exact"/>
        <w:ind w:left="0" w:right="0" w:firstLine="420" w:firstLineChars="200"/>
        <w:jc w:val="both"/>
        <w:rPr>
          <w:rFonts w:hint="default" w:ascii="宋体" w:hAnsi="宋体" w:eastAsia="宋体" w:cs="宋体"/>
          <w:color w:val="auto"/>
          <w:kern w:val="2"/>
          <w:sz w:val="21"/>
          <w:szCs w:val="21"/>
          <w:highlight w:val="none"/>
          <w:lang w:val="en-US"/>
        </w:rPr>
      </w:pPr>
    </w:p>
    <w:p w14:paraId="375E7FC1">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4"/>
          <w:szCs w:val="24"/>
          <w:highlight w:val="none"/>
          <w:lang w:val="en-US" w:eastAsia="zh-CN"/>
        </w:rPr>
      </w:pPr>
      <w:r>
        <w:rPr>
          <w:rFonts w:hint="eastAsia" w:ascii="Times New Roman" w:hAnsi="Times New Roman" w:eastAsia="宋体" w:cs="Times New Roman"/>
          <w:b/>
          <w:color w:val="auto"/>
          <w:sz w:val="24"/>
          <w:szCs w:val="24"/>
          <w:highlight w:val="none"/>
          <w:lang w:val="en-US" w:eastAsia="zh-CN"/>
        </w:rPr>
        <w:t>（</w:t>
      </w:r>
      <w:r>
        <w:rPr>
          <w:rFonts w:hint="eastAsia" w:cs="Times New Roman"/>
          <w:b/>
          <w:color w:val="auto"/>
          <w:sz w:val="24"/>
          <w:szCs w:val="24"/>
          <w:highlight w:val="none"/>
          <w:lang w:val="en-US" w:eastAsia="zh-CN"/>
        </w:rPr>
        <w:t>二</w:t>
      </w:r>
      <w:r>
        <w:rPr>
          <w:rFonts w:hint="eastAsia" w:ascii="Times New Roman" w:hAnsi="Times New Roman" w:eastAsia="宋体" w:cs="Times New Roman"/>
          <w:b/>
          <w:color w:val="auto"/>
          <w:sz w:val="24"/>
          <w:szCs w:val="24"/>
          <w:highlight w:val="none"/>
          <w:lang w:val="en-US" w:eastAsia="zh-CN"/>
        </w:rPr>
        <w:t>）商务标评审</w:t>
      </w:r>
    </w:p>
    <w:tbl>
      <w:tblPr>
        <w:tblStyle w:val="46"/>
        <w:tblW w:w="10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4"/>
        <w:gridCol w:w="776"/>
        <w:gridCol w:w="708"/>
        <w:gridCol w:w="2127"/>
        <w:gridCol w:w="5794"/>
      </w:tblGrid>
      <w:tr w14:paraId="0046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3" w:hRule="atLeast"/>
          <w:jc w:val="center"/>
        </w:trPr>
        <w:tc>
          <w:tcPr>
            <w:tcW w:w="15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511C3B">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bookmarkStart w:id="759" w:name="_Toc246996975"/>
            <w:bookmarkStart w:id="760" w:name="_Toc506107324"/>
            <w:bookmarkStart w:id="761" w:name="_Toc152042366"/>
            <w:bookmarkStart w:id="762" w:name="_Toc144974556"/>
            <w:bookmarkStart w:id="763" w:name="_Toc246996232"/>
            <w:bookmarkStart w:id="764" w:name="_Toc6491"/>
            <w:bookmarkStart w:id="765" w:name="_Toc15058913"/>
            <w:bookmarkStart w:id="766" w:name="_Toc324404872"/>
            <w:bookmarkStart w:id="767" w:name="_Toc179632607"/>
            <w:bookmarkStart w:id="768" w:name="_Toc35424947"/>
            <w:bookmarkStart w:id="769" w:name="_Toc152045589"/>
            <w:bookmarkStart w:id="770" w:name="_Toc35425113"/>
            <w:bookmarkStart w:id="771" w:name="_Toc247085747"/>
            <w:bookmarkStart w:id="772" w:name="_Toc78803381"/>
            <w:r>
              <w:rPr>
                <w:rFonts w:hint="eastAsia" w:ascii="宋体" w:hAnsi="宋体" w:eastAsia="宋体" w:cs="宋体"/>
                <w:color w:val="auto"/>
                <w:kern w:val="2"/>
                <w:sz w:val="21"/>
                <w:szCs w:val="21"/>
                <w:highlight w:val="none"/>
                <w:lang w:val="en-US" w:eastAsia="zh-CN" w:bidi="ar"/>
              </w:rPr>
              <w:t>条款号</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371651">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评审因素</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7740CD6B">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评审标准</w:t>
            </w:r>
          </w:p>
        </w:tc>
      </w:tr>
      <w:tr w14:paraId="2751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784" w:type="dxa"/>
            <w:vMerge w:val="restart"/>
            <w:tcBorders>
              <w:top w:val="nil"/>
              <w:left w:val="single" w:color="auto" w:sz="4" w:space="0"/>
              <w:bottom w:val="single" w:color="auto" w:sz="4" w:space="0"/>
              <w:right w:val="single" w:color="auto" w:sz="4" w:space="0"/>
            </w:tcBorders>
            <w:shd w:val="clear" w:color="auto" w:fill="auto"/>
            <w:vAlign w:val="center"/>
          </w:tcPr>
          <w:p w14:paraId="1C02F81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4.2.1</w:t>
            </w:r>
          </w:p>
        </w:tc>
        <w:tc>
          <w:tcPr>
            <w:tcW w:w="776" w:type="dxa"/>
            <w:vMerge w:val="restart"/>
            <w:tcBorders>
              <w:top w:val="nil"/>
              <w:left w:val="single" w:color="auto" w:sz="4" w:space="0"/>
              <w:bottom w:val="single" w:color="auto" w:sz="4" w:space="0"/>
              <w:right w:val="single" w:color="auto" w:sz="4" w:space="0"/>
            </w:tcBorders>
            <w:shd w:val="clear" w:color="auto" w:fill="auto"/>
            <w:vAlign w:val="center"/>
          </w:tcPr>
          <w:p w14:paraId="77CD58A7">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形式评审标准</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880D6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投标函签字盖章</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4A10AB1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有投标人及其法定代表人签章。</w:t>
            </w:r>
          </w:p>
        </w:tc>
      </w:tr>
      <w:tr w14:paraId="2FBE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1"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6CB3F48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7D1083D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D85AA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投标文件格式</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31984171">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符合第八章“投标文件格式”的要求。</w:t>
            </w:r>
          </w:p>
        </w:tc>
      </w:tr>
      <w:tr w14:paraId="3C52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1"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5E44839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2AA25834">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F144D4">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商务标签字盖章</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90595C6">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按投标文件格式要求签章。</w:t>
            </w:r>
          </w:p>
        </w:tc>
      </w:tr>
      <w:tr w14:paraId="401F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6FCA290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684DAE6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DB560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报价唯一</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CF28EC9">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只能有一个报价。</w:t>
            </w:r>
          </w:p>
        </w:tc>
      </w:tr>
      <w:tr w14:paraId="6175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3" w:hRule="atLeast"/>
          <w:jc w:val="center"/>
        </w:trPr>
        <w:tc>
          <w:tcPr>
            <w:tcW w:w="784" w:type="dxa"/>
            <w:vMerge w:val="restart"/>
            <w:tcBorders>
              <w:top w:val="nil"/>
              <w:left w:val="single" w:color="auto" w:sz="4" w:space="0"/>
              <w:bottom w:val="single" w:color="auto" w:sz="4" w:space="0"/>
              <w:right w:val="single" w:color="auto" w:sz="4" w:space="0"/>
            </w:tcBorders>
            <w:shd w:val="clear" w:color="auto" w:fill="auto"/>
            <w:vAlign w:val="center"/>
          </w:tcPr>
          <w:p w14:paraId="1A94A973">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4.2.2</w:t>
            </w:r>
          </w:p>
        </w:tc>
        <w:tc>
          <w:tcPr>
            <w:tcW w:w="776" w:type="dxa"/>
            <w:vMerge w:val="restart"/>
            <w:tcBorders>
              <w:top w:val="nil"/>
              <w:left w:val="single" w:color="auto" w:sz="4" w:space="0"/>
              <w:bottom w:val="single" w:color="auto" w:sz="4" w:space="0"/>
              <w:right w:val="single" w:color="auto" w:sz="4" w:space="0"/>
            </w:tcBorders>
            <w:shd w:val="clear" w:color="auto" w:fill="auto"/>
            <w:vAlign w:val="center"/>
          </w:tcPr>
          <w:p w14:paraId="49B9F29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响应性评审标准</w:t>
            </w: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B55EA7">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投标保证金缴纳情况</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3D4C6E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符合投标须知前附表规定。</w:t>
            </w:r>
          </w:p>
        </w:tc>
      </w:tr>
      <w:tr w14:paraId="76CA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110A35F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67BD427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BD26FC">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工期</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5213A6B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符合投标须知前附表规定。</w:t>
            </w:r>
          </w:p>
        </w:tc>
      </w:tr>
      <w:tr w14:paraId="1EDF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5FE00CA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008F042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1F070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工程质量</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7A4A680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符合投标须知前附表规定。</w:t>
            </w:r>
          </w:p>
        </w:tc>
      </w:tr>
      <w:tr w14:paraId="7541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275615D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4BEA99D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7C012E">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投标有效期</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C99D80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符合投标须知前附表规定。</w:t>
            </w:r>
          </w:p>
        </w:tc>
      </w:tr>
      <w:tr w14:paraId="33DE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4E17F17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1C0ACA0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A18127">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已标价工程量清单</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462CB184">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与招标人发布的招标工程量清单（含需评审材料清单）排序一致，能有效导入计算机辅助评标系统。</w:t>
            </w:r>
          </w:p>
        </w:tc>
      </w:tr>
      <w:tr w14:paraId="3545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6"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347B81B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3D70381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D234A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投标总价评审</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062054D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lang w:val="en-US" w:eastAsia="zh-CN" w:bidi="ar"/>
              </w:rPr>
              <w:t>不得高于最高投标限价，也不得低于工程成本价。</w:t>
            </w:r>
          </w:p>
        </w:tc>
      </w:tr>
      <w:tr w14:paraId="49E9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6"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0149E65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6D5C840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8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829F11">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暂列金额、专业工程暂估价、分部分项工程材料及设备暂估价</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300C93A7">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与招标人发布的招标工程量清单一致。</w:t>
            </w:r>
          </w:p>
        </w:tc>
      </w:tr>
      <w:tr w14:paraId="7289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5" w:hRule="atLeast"/>
          <w:jc w:val="center"/>
        </w:trPr>
        <w:tc>
          <w:tcPr>
            <w:tcW w:w="784" w:type="dxa"/>
            <w:vMerge w:val="restart"/>
            <w:tcBorders>
              <w:top w:val="nil"/>
              <w:left w:val="single" w:color="auto" w:sz="4" w:space="0"/>
              <w:bottom w:val="single" w:color="auto" w:sz="4" w:space="0"/>
              <w:right w:val="single" w:color="auto" w:sz="4" w:space="0"/>
            </w:tcBorders>
            <w:shd w:val="clear" w:color="auto" w:fill="auto"/>
            <w:vAlign w:val="center"/>
          </w:tcPr>
          <w:p w14:paraId="192FA0DC">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4.2.3</w:t>
            </w:r>
          </w:p>
        </w:tc>
        <w:tc>
          <w:tcPr>
            <w:tcW w:w="776" w:type="dxa"/>
            <w:vMerge w:val="restart"/>
            <w:tcBorders>
              <w:top w:val="nil"/>
              <w:left w:val="single" w:color="auto" w:sz="4" w:space="0"/>
              <w:bottom w:val="single" w:color="auto" w:sz="4" w:space="0"/>
              <w:right w:val="single" w:color="auto" w:sz="4" w:space="0"/>
            </w:tcBorders>
            <w:shd w:val="clear" w:color="auto" w:fill="auto"/>
            <w:vAlign w:val="center"/>
          </w:tcPr>
          <w:p w14:paraId="2FA8CD33">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18"/>
                <w:szCs w:val="18"/>
                <w:highlight w:val="none"/>
                <w:lang w:val="en-US" w:eastAsia="zh-CN" w:bidi="ar"/>
              </w:rPr>
              <w:t>详细评审标准</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0EF29AF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工程成本评审</w:t>
            </w:r>
          </w:p>
        </w:tc>
        <w:tc>
          <w:tcPr>
            <w:tcW w:w="79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8D71F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lang w:val="en-US" w:eastAsia="zh-CN" w:bidi="ar"/>
              </w:rPr>
              <w:t>投标报价出现下列情形之一的，由评标委员会重点评审后界定其报价是否低于工程成本：</w:t>
            </w:r>
          </w:p>
        </w:tc>
      </w:tr>
      <w:tr w14:paraId="4351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60C3F37E">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4152F43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25C773E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343DE776">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投标报价</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540A4F8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投标报价低于本项目通过资信、技术评审且商务标初步评审合格的有效投标报价平均值10%以上。</w:t>
            </w:r>
          </w:p>
        </w:tc>
      </w:tr>
      <w:tr w14:paraId="1264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1D836B1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1C8F261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45B4284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3E92ECBC">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报价内容完整性</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F548513">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因投标人原因造成投标报价清单缺漏，缺漏项总额（多算或多报总额不得抵消缺漏项目总额）累计占本项目通过资信、技术评审且商务标初步评审合格</w:t>
            </w:r>
            <w:r>
              <w:rPr>
                <w:rFonts w:hint="eastAsia" w:ascii="宋体" w:hAnsi="宋体" w:eastAsia="宋体" w:cs="宋体"/>
                <w:color w:val="auto"/>
                <w:spacing w:val="-6"/>
                <w:kern w:val="2"/>
                <w:sz w:val="21"/>
                <w:szCs w:val="21"/>
                <w:highlight w:val="none"/>
                <w:lang w:val="en-US" w:eastAsia="zh-CN" w:bidi="ar"/>
              </w:rPr>
              <w:t>有效投标总报价平均值5%以上。</w:t>
            </w:r>
          </w:p>
        </w:tc>
      </w:tr>
      <w:tr w14:paraId="3CA7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2CE837F6">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17038E6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6958D32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1DA7ABEE">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人工工日单价</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C76132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不得低于招标人发布的最高投标限价中的人工工日单价</w:t>
            </w:r>
          </w:p>
        </w:tc>
      </w:tr>
      <w:tr w14:paraId="5EBE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321E4B4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0AAD212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24369CCC">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0810E3F8">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需评审材料数量</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7935120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需评审的主要材料消耗量低于最高投标限价相应材料数量的5%以上，且低于本项目通过资信、技术评审且商务标初步评审合格有效投标报价相应材料消耗量平均值的3%以上。</w:t>
            </w:r>
          </w:p>
        </w:tc>
      </w:tr>
      <w:tr w14:paraId="6127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13400393">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2ECCCFBA">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15965A3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3CAD0E4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施工机具使用费</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5DE01CB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施工机具使用费低于本项目通过资信、技术评审且商务标初步评审合格有效投标报价施工机具使用费平均值的10%以上。</w:t>
            </w:r>
          </w:p>
        </w:tc>
      </w:tr>
      <w:tr w14:paraId="7944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3AE75C8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232BC89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61C3309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686CE15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管理费和利润费率</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1C0EC20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管理费、利润投标费率低于0%。</w:t>
            </w:r>
          </w:p>
        </w:tc>
      </w:tr>
      <w:tr w14:paraId="0FC7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0E5BCAC8">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2FD21D29">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2A9EC3F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无效报价</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64040A0C">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暂估价材料、设备</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24A3134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材料、设备暂估价未按要求计入分部分项工程费。</w:t>
            </w:r>
          </w:p>
        </w:tc>
      </w:tr>
      <w:tr w14:paraId="7A96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6907ECC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5300E81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791329B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50F3571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不可竞争项目费费率</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7254879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低于建标〔2021〕42号文规定的费率。</w:t>
            </w:r>
          </w:p>
        </w:tc>
      </w:tr>
      <w:tr w14:paraId="5B73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5" w:hRule="atLeast"/>
          <w:jc w:val="center"/>
        </w:trPr>
        <w:tc>
          <w:tcPr>
            <w:tcW w:w="784" w:type="dxa"/>
            <w:vMerge w:val="continue"/>
            <w:tcBorders>
              <w:top w:val="nil"/>
              <w:left w:val="single" w:color="auto" w:sz="4" w:space="0"/>
              <w:bottom w:val="single" w:color="auto" w:sz="4" w:space="0"/>
              <w:right w:val="single" w:color="auto" w:sz="4" w:space="0"/>
            </w:tcBorders>
            <w:shd w:val="clear" w:color="auto" w:fill="auto"/>
            <w:vAlign w:val="center"/>
          </w:tcPr>
          <w:p w14:paraId="710BB450">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76" w:type="dxa"/>
            <w:vMerge w:val="continue"/>
            <w:tcBorders>
              <w:top w:val="nil"/>
              <w:left w:val="single" w:color="auto" w:sz="4" w:space="0"/>
              <w:bottom w:val="single" w:color="auto" w:sz="4" w:space="0"/>
              <w:right w:val="single" w:color="auto" w:sz="4" w:space="0"/>
            </w:tcBorders>
            <w:shd w:val="clear" w:color="auto" w:fill="auto"/>
            <w:vAlign w:val="center"/>
          </w:tcPr>
          <w:p w14:paraId="0A5ED85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708" w:type="dxa"/>
            <w:vMerge w:val="continue"/>
            <w:tcBorders>
              <w:top w:val="nil"/>
              <w:left w:val="single" w:color="auto" w:sz="4" w:space="0"/>
              <w:bottom w:val="single" w:color="auto" w:sz="4" w:space="0"/>
              <w:right w:val="single" w:color="auto" w:sz="4" w:space="0"/>
            </w:tcBorders>
            <w:shd w:val="clear" w:color="auto" w:fill="auto"/>
            <w:vAlign w:val="center"/>
          </w:tcPr>
          <w:p w14:paraId="3FA3BFA5">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421BFA46">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税率</w:t>
            </w:r>
          </w:p>
        </w:tc>
        <w:tc>
          <w:tcPr>
            <w:tcW w:w="5794" w:type="dxa"/>
            <w:tcBorders>
              <w:top w:val="single" w:color="auto" w:sz="4" w:space="0"/>
              <w:left w:val="single" w:color="auto" w:sz="4" w:space="0"/>
              <w:bottom w:val="single" w:color="auto" w:sz="4" w:space="0"/>
              <w:right w:val="single" w:color="auto" w:sz="4" w:space="0"/>
            </w:tcBorders>
            <w:shd w:val="clear" w:color="auto" w:fill="auto"/>
            <w:vAlign w:val="center"/>
          </w:tcPr>
          <w:p w14:paraId="0CBAA63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低于《关于调整我省现行建设工程计价依据增值税税率的通知》（皖造价〔2019〕7号）规定的费率。</w:t>
            </w:r>
          </w:p>
        </w:tc>
      </w:tr>
    </w:tbl>
    <w:p w14:paraId="2D9B843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商务标评审表注：</w:t>
      </w:r>
    </w:p>
    <w:p w14:paraId="3F188CB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1、缺漏项金额是指投标人漏计招标人发布的清单项目，按最高投标限价对应清单综合单价计算缺漏金额。</w:t>
      </w:r>
    </w:p>
    <w:p w14:paraId="128EA02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2、本表所述累计投标报价缺漏错总额占原投标报价格 5%以下者，视为投标人主动让利或包含在其他项目中，不修正总价，工程结算时亦不予调整。</w:t>
      </w:r>
    </w:p>
    <w:p w14:paraId="63B190D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3、投标函报价与开标记录表中的投标总价、标书信息确认中的投标总价不一致的，商务标审查不合格。</w:t>
      </w:r>
    </w:p>
    <w:p w14:paraId="07566253">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4、投标人（如投标人为联合体，联合体各方均需提供）的注册建造师必须满足相应建筑业企业资质标准要求，评标委员会在评审时，将对此进行评审。投标单位（如投标人为联合体，联合体各方均需提供）应在商务标文件中提供全国建筑市场监管公共服务平台(四库一平台)企业注册人员网页截图，未提供相关截图，按无效标处理</w:t>
      </w:r>
      <w:r>
        <w:rPr>
          <w:rFonts w:hint="eastAsia" w:ascii="宋体" w:hAnsi="宋体" w:cs="宋体"/>
          <w:color w:val="auto"/>
          <w:szCs w:val="21"/>
          <w:highlight w:val="none"/>
          <w:lang w:val="en-US" w:eastAsia="zh-CN"/>
        </w:rPr>
        <w:t>。</w:t>
      </w:r>
    </w:p>
    <w:p w14:paraId="0C6ABCCB">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1.评标方法</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3AC4AA0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lang w:eastAsia="zh-CN"/>
        </w:rPr>
      </w:pPr>
      <w:bookmarkStart w:id="773" w:name="_Toc506107325"/>
      <w:bookmarkStart w:id="774" w:name="_Toc324404873"/>
      <w:bookmarkStart w:id="775" w:name="_Toc15058914"/>
      <w:bookmarkStart w:id="776" w:name="_Toc35425114"/>
      <w:bookmarkStart w:id="777" w:name="_Toc78803382"/>
      <w:bookmarkStart w:id="778" w:name="_Toc35424948"/>
      <w:bookmarkStart w:id="779" w:name="_Toc11945"/>
      <w:bookmarkStart w:id="780" w:name="_Toc144974557"/>
      <w:bookmarkStart w:id="781" w:name="_Toc152042367"/>
      <w:bookmarkStart w:id="782" w:name="_Toc247085748"/>
      <w:bookmarkStart w:id="783" w:name="_Toc246996233"/>
      <w:bookmarkStart w:id="784" w:name="_Toc152045590"/>
      <w:bookmarkStart w:id="785" w:name="_Toc296602478"/>
      <w:bookmarkStart w:id="786" w:name="_Toc246996976"/>
      <w:bookmarkStart w:id="787" w:name="_Toc179632608"/>
      <w:r>
        <w:rPr>
          <w:rFonts w:hint="eastAsia" w:ascii="宋体" w:hAnsi="宋体" w:eastAsia="宋体" w:cs="宋体"/>
          <w:color w:val="auto"/>
          <w:szCs w:val="21"/>
          <w:highlight w:val="none"/>
        </w:rPr>
        <w:t>本次评标采用</w:t>
      </w:r>
      <w:r>
        <w:rPr>
          <w:rFonts w:hint="eastAsia" w:ascii="宋体" w:hAnsi="宋体" w:cs="宋体"/>
          <w:b/>
          <w:bCs/>
          <w:color w:val="auto"/>
          <w:szCs w:val="21"/>
          <w:highlight w:val="none"/>
          <w:lang w:eastAsia="zh-CN"/>
        </w:rPr>
        <w:t>综合评估法</w:t>
      </w:r>
      <w:r>
        <w:rPr>
          <w:rFonts w:hint="eastAsia" w:ascii="宋体" w:hAnsi="宋体" w:eastAsia="宋体" w:cs="宋体"/>
          <w:color w:val="auto"/>
          <w:szCs w:val="21"/>
          <w:highlight w:val="none"/>
        </w:rPr>
        <w:t>。评标委员会对满足招标文件实质性要求的投标文件，按照本章规定的评分标准进行打分，并按总得分由高到低顺序推荐中标候选人</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名，并标明排序，但投标报价低于其成本的除外。如总得分相等，以投标报价低的优先，投标报价仍相等，以信用分得分高的优先；如信用分得分也相等，由评标委员会主任委员或招标人随机抽取确定排名</w:t>
      </w:r>
      <w:r>
        <w:rPr>
          <w:rFonts w:hint="eastAsia" w:ascii="宋体" w:hAnsi="宋体" w:cs="宋体"/>
          <w:color w:val="auto"/>
          <w:szCs w:val="21"/>
          <w:highlight w:val="none"/>
          <w:lang w:eastAsia="zh-CN"/>
        </w:rPr>
        <w:t>。</w:t>
      </w:r>
    </w:p>
    <w:p w14:paraId="52E88011">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jc w:val="lef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评标委员会登录全国建筑市场监管公共服务平台 ( 四库一平台)https://jzsc.mohurd.gov.cn/home 进行实时查询，并结合《住房城乡建设部关于进一步加强建设工程企业资质审批管理工作的通知》（建市规〔2023〕3 号）、《住房和城乡建设部办公厅关于建设工程企业资质有关事项的通知》（建办市函〔2022〕361 号）和安徽省住建厅《关于建设工程企业资质有关事宜的通知》（建市函〔2022〕748 号），对中标候选人的关系企业履约能力的建造师数量进行评审：</w:t>
      </w:r>
    </w:p>
    <w:p w14:paraId="5F33AA5D">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①建筑工程施工总承包特级资质企业：注册一级建造师 50人以上。</w:t>
      </w:r>
    </w:p>
    <w:p w14:paraId="632C356F">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②建筑工程施工总承包壹级资质企业：建筑工程、机电工程专业一级注册建造师合计不少于 12 人，其中建筑工程专业一级注册建造师不少于 9 人。</w:t>
      </w:r>
    </w:p>
    <w:p w14:paraId="5E809773">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③建筑工程施工总承包贰级、叁级资质企业：建筑工程、机电工程专业注册建造师合计不少于 5 人，其中建筑工程专业注册建造师不少于 4 人。</w:t>
      </w:r>
    </w:p>
    <w:p w14:paraId="5CAAE8F5">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lang w:eastAsia="zh-CN"/>
        </w:rPr>
        <w:t>中标候选人的注册建造师不满足上述要求的，评标委员会对该投标不予认可，并将该情形报送相关行政主管部门。中标候选人依次替补，评标委员会再次对替补单位进行核查。</w:t>
      </w:r>
    </w:p>
    <w:p w14:paraId="052B9A6D">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2.评标委员会的职责</w:t>
      </w:r>
      <w:bookmarkEnd w:id="773"/>
      <w:bookmarkEnd w:id="774"/>
      <w:bookmarkEnd w:id="775"/>
      <w:bookmarkEnd w:id="776"/>
      <w:bookmarkEnd w:id="777"/>
      <w:bookmarkEnd w:id="778"/>
      <w:bookmarkEnd w:id="779"/>
    </w:p>
    <w:p w14:paraId="26A8BDAC">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346014B5">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bookmarkStart w:id="788" w:name="_Toc17377"/>
      <w:bookmarkStart w:id="789" w:name="_Toc506107326"/>
      <w:bookmarkStart w:id="790" w:name="_Toc78803384"/>
      <w:bookmarkStart w:id="791" w:name="_Toc35424949"/>
      <w:bookmarkStart w:id="792" w:name="_Toc324404874"/>
      <w:bookmarkStart w:id="793" w:name="_Toc15058915"/>
      <w:bookmarkStart w:id="794" w:name="_Toc35425115"/>
      <w:r>
        <w:rPr>
          <w:rFonts w:hint="eastAsia" w:ascii="宋体" w:hAnsi="宋体" w:cs="宋体"/>
          <w:color w:val="auto"/>
          <w:szCs w:val="21"/>
          <w:highlight w:val="none"/>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4CEB0BA6">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3.评标程序</w:t>
      </w:r>
      <w:bookmarkEnd w:id="788"/>
      <w:bookmarkEnd w:id="789"/>
      <w:bookmarkEnd w:id="790"/>
      <w:bookmarkEnd w:id="791"/>
      <w:bookmarkEnd w:id="792"/>
      <w:bookmarkEnd w:id="793"/>
      <w:bookmarkEnd w:id="794"/>
    </w:p>
    <w:p w14:paraId="6D204C9D">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评标先做准备工作，再进行资格、技术标评审，然后进行商务标评审。</w:t>
      </w:r>
    </w:p>
    <w:p w14:paraId="267FE0A5">
      <w:pPr>
        <w:pStyle w:val="7"/>
        <w:pageBreakBefore w:val="0"/>
        <w:widowControl w:val="0"/>
        <w:kinsoku/>
        <w:wordWrap/>
        <w:overflowPunct/>
        <w:topLinePunct w:val="0"/>
        <w:autoSpaceDE/>
        <w:autoSpaceDN/>
        <w:bidi w:val="0"/>
        <w:spacing w:line="440" w:lineRule="exact"/>
        <w:ind w:firstLine="422" w:firstLineChars="200"/>
        <w:textAlignment w:val="auto"/>
        <w:rPr>
          <w:rFonts w:ascii="宋体" w:hAnsi="宋体" w:eastAsia="宋体" w:cs="宋体"/>
          <w:color w:val="auto"/>
          <w:highlight w:val="none"/>
        </w:rPr>
      </w:pPr>
      <w:bookmarkStart w:id="795" w:name="_Toc27389"/>
      <w:bookmarkStart w:id="796" w:name="_Toc78803385"/>
      <w:bookmarkStart w:id="797" w:name="_Toc15058916"/>
      <w:bookmarkStart w:id="798" w:name="_Toc35424950"/>
      <w:bookmarkStart w:id="799" w:name="_Toc35425116"/>
      <w:r>
        <w:rPr>
          <w:rFonts w:hint="eastAsia" w:ascii="宋体" w:hAnsi="宋体" w:eastAsia="宋体" w:cs="宋体"/>
          <w:color w:val="auto"/>
          <w:highlight w:val="none"/>
        </w:rPr>
        <w:t>3.1评标准备工作</w:t>
      </w:r>
      <w:bookmarkEnd w:id="795"/>
      <w:bookmarkEnd w:id="796"/>
      <w:bookmarkEnd w:id="797"/>
      <w:bookmarkEnd w:id="798"/>
      <w:bookmarkEnd w:id="799"/>
    </w:p>
    <w:p w14:paraId="311AD173">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评标委员会熟悉评标工作情况：</w:t>
      </w:r>
    </w:p>
    <w:p w14:paraId="018D9403">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（1）阅读由招标人或者其委托的工程代理机构编制的招标项目情况材料。</w:t>
      </w:r>
    </w:p>
    <w:p w14:paraId="2C0CD95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（2）阅读、研究招标文件和相关评标资料，获取评标所需要的重要信息和数据，至少应了解和熟悉以下内容：招标项目的范围和性质，招标文件规定的主要技术要求、标准和商务条款。</w:t>
      </w:r>
    </w:p>
    <w:p w14:paraId="0771DA4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（3）熟悉招标文件规定的评标标准和评标方法及在评标过程中需要考虑的相关因素。</w:t>
      </w:r>
    </w:p>
    <w:p w14:paraId="5143744D">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（4）核对评标工作用表。</w:t>
      </w:r>
    </w:p>
    <w:p w14:paraId="06B91EFC">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00" w:name="_Toc35424951"/>
      <w:bookmarkStart w:id="801" w:name="_Toc35425117"/>
      <w:bookmarkStart w:id="802" w:name="_Toc78803386"/>
      <w:bookmarkStart w:id="803" w:name="_Toc24650"/>
      <w:bookmarkStart w:id="804" w:name="_Toc1299"/>
      <w:bookmarkStart w:id="805" w:name="_Toc15058917"/>
      <w:bookmarkStart w:id="806" w:name="_Toc324404875"/>
      <w:bookmarkStart w:id="807" w:name="_Toc12200"/>
      <w:bookmarkStart w:id="808" w:name="_Toc35424954"/>
      <w:bookmarkStart w:id="809" w:name="_Toc506107327"/>
      <w:bookmarkStart w:id="810" w:name="_Toc35425120"/>
      <w:bookmarkStart w:id="811" w:name="_Toc15058919"/>
      <w:r>
        <w:rPr>
          <w:rFonts w:hint="eastAsia" w:ascii="宋体" w:hAnsi="宋体" w:eastAsia="宋体" w:cs="宋体"/>
          <w:color w:val="auto"/>
          <w:highlight w:val="none"/>
        </w:rPr>
        <w:t>3.2</w:t>
      </w:r>
      <w:bookmarkEnd w:id="800"/>
      <w:bookmarkEnd w:id="801"/>
      <w:bookmarkEnd w:id="802"/>
      <w:bookmarkEnd w:id="803"/>
      <w:bookmarkEnd w:id="804"/>
      <w:bookmarkEnd w:id="805"/>
      <w:bookmarkStart w:id="812" w:name="_Toc15058918"/>
      <w:bookmarkStart w:id="813" w:name="_Toc35424952"/>
      <w:bookmarkStart w:id="814" w:name="_Toc11990"/>
      <w:bookmarkStart w:id="815" w:name="_Toc17468"/>
      <w:bookmarkStart w:id="816" w:name="_Toc35425118"/>
      <w:bookmarkStart w:id="817" w:name="_Toc78803387"/>
      <w:r>
        <w:rPr>
          <w:rFonts w:hint="eastAsia" w:ascii="宋体" w:hAnsi="宋体" w:eastAsia="宋体" w:cs="宋体"/>
          <w:color w:val="auto"/>
          <w:highlight w:val="none"/>
        </w:rPr>
        <w:t>技术标评审</w:t>
      </w:r>
    </w:p>
    <w:p w14:paraId="0BFF585D">
      <w:pPr>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详见技术标评审表。</w:t>
      </w:r>
    </w:p>
    <w:p w14:paraId="0DC00819">
      <w:pPr>
        <w:pStyle w:val="7"/>
        <w:pageBreakBefore w:val="0"/>
        <w:widowControl w:val="0"/>
        <w:kinsoku/>
        <w:wordWrap/>
        <w:overflowPunct/>
        <w:topLinePunct w:val="0"/>
        <w:autoSpaceDE/>
        <w:autoSpaceDN/>
        <w:bidi w:val="0"/>
        <w:spacing w:line="44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lang w:val="en-US" w:eastAsia="zh-CN"/>
        </w:rPr>
        <w:t>3.3</w:t>
      </w:r>
      <w:r>
        <w:rPr>
          <w:rFonts w:hint="eastAsia" w:ascii="宋体" w:hAnsi="宋体" w:eastAsia="宋体" w:cs="宋体"/>
          <w:color w:val="auto"/>
          <w:highlight w:val="none"/>
        </w:rPr>
        <w:t>商务标评审</w:t>
      </w:r>
      <w:bookmarkEnd w:id="812"/>
      <w:bookmarkEnd w:id="813"/>
      <w:bookmarkEnd w:id="814"/>
      <w:bookmarkEnd w:id="815"/>
      <w:bookmarkEnd w:id="816"/>
      <w:bookmarkEnd w:id="817"/>
    </w:p>
    <w:p w14:paraId="689EEA11">
      <w:pPr>
        <w:pageBreakBefore w:val="0"/>
        <w:widowControl w:val="0"/>
        <w:kinsoku/>
        <w:wordWrap/>
        <w:overflowPunct/>
        <w:topLinePunct w:val="0"/>
        <w:autoSpaceDE/>
        <w:autoSpaceDN/>
        <w:bidi w:val="0"/>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详见商务标评审表。</w:t>
      </w:r>
    </w:p>
    <w:p w14:paraId="25869F54">
      <w:pPr>
        <w:pageBreakBefore w:val="0"/>
        <w:widowControl w:val="0"/>
        <w:kinsoku/>
        <w:wordWrap/>
        <w:overflowPunct/>
        <w:topLinePunct w:val="0"/>
        <w:autoSpaceDE/>
        <w:autoSpaceDN/>
        <w:bidi w:val="0"/>
        <w:spacing w:line="440" w:lineRule="exact"/>
        <w:ind w:firstLine="422" w:firstLineChars="200"/>
        <w:jc w:val="left"/>
        <w:textAlignment w:val="auto"/>
        <w:rPr>
          <w:rStyle w:val="198"/>
          <w:rFonts w:hint="eastAsia" w:ascii="宋体" w:hAnsi="宋体" w:eastAsia="宋体" w:cs="宋体"/>
          <w:color w:val="auto"/>
          <w:highlight w:val="none"/>
        </w:rPr>
      </w:pPr>
      <w:bookmarkStart w:id="818" w:name="_Toc35424953"/>
      <w:bookmarkStart w:id="819" w:name="_Toc35425119"/>
      <w:bookmarkStart w:id="820" w:name="_Toc26895"/>
      <w:bookmarkStart w:id="821" w:name="_Toc78803388"/>
      <w:bookmarkStart w:id="822" w:name="_Toc18087"/>
      <w:r>
        <w:rPr>
          <w:rStyle w:val="198"/>
          <w:rFonts w:hint="eastAsia" w:ascii="宋体" w:hAnsi="宋体" w:eastAsia="宋体" w:cs="宋体"/>
          <w:color w:val="auto"/>
          <w:highlight w:val="none"/>
        </w:rPr>
        <w:t>3.</w:t>
      </w:r>
      <w:r>
        <w:rPr>
          <w:rStyle w:val="198"/>
          <w:rFonts w:hint="eastAsia" w:ascii="宋体" w:hAnsi="宋体" w:cs="宋体"/>
          <w:color w:val="auto"/>
          <w:highlight w:val="none"/>
          <w:lang w:val="en-US"/>
        </w:rPr>
        <w:t>4</w:t>
      </w:r>
      <w:r>
        <w:rPr>
          <w:rStyle w:val="198"/>
          <w:rFonts w:hint="eastAsia" w:ascii="宋体" w:hAnsi="宋体" w:eastAsia="宋体" w:cs="宋体"/>
          <w:color w:val="auto"/>
          <w:highlight w:val="none"/>
        </w:rPr>
        <w:t>推荐中标候选人</w:t>
      </w:r>
      <w:bookmarkEnd w:id="818"/>
      <w:bookmarkEnd w:id="819"/>
      <w:bookmarkEnd w:id="820"/>
      <w:bookmarkEnd w:id="821"/>
      <w:bookmarkEnd w:id="822"/>
    </w:p>
    <w:p w14:paraId="362FA860">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资信评审、技术标评审、商务标评审后，推荐中标候选人，并标明排序。</w:t>
      </w:r>
    </w:p>
    <w:p w14:paraId="696AA247">
      <w:pPr>
        <w:pStyle w:val="7"/>
        <w:pageBreakBefore w:val="0"/>
        <w:widowControl w:val="0"/>
        <w:kinsoku/>
        <w:wordWrap/>
        <w:overflowPunct/>
        <w:topLinePunct w:val="0"/>
        <w:autoSpaceDE/>
        <w:autoSpaceDN/>
        <w:bidi w:val="0"/>
        <w:spacing w:beforeLines="50" w:afterLines="50" w:line="440" w:lineRule="exact"/>
        <w:ind w:firstLine="422" w:firstLineChars="200"/>
        <w:textAlignment w:val="auto"/>
        <w:rPr>
          <w:rFonts w:ascii="宋体" w:hAnsi="宋体" w:eastAsia="宋体" w:cs="宋体"/>
          <w:color w:val="auto"/>
          <w:highlight w:val="none"/>
        </w:rPr>
      </w:pPr>
      <w:bookmarkStart w:id="823" w:name="_Toc78803389"/>
      <w:r>
        <w:rPr>
          <w:rFonts w:hint="eastAsia" w:ascii="宋体" w:hAnsi="宋体" w:eastAsia="宋体" w:cs="宋体"/>
          <w:color w:val="auto"/>
          <w:highlight w:val="none"/>
        </w:rPr>
        <w:t>4.评审内容</w:t>
      </w:r>
      <w:bookmarkEnd w:id="806"/>
      <w:bookmarkEnd w:id="807"/>
      <w:bookmarkEnd w:id="808"/>
      <w:bookmarkEnd w:id="809"/>
      <w:bookmarkEnd w:id="810"/>
      <w:bookmarkEnd w:id="811"/>
      <w:bookmarkEnd w:id="823"/>
    </w:p>
    <w:p w14:paraId="20F7C8CD">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bookmarkStart w:id="824" w:name="_Toc78803390"/>
      <w:bookmarkStart w:id="825" w:name="_Toc9630"/>
      <w:r>
        <w:rPr>
          <w:rFonts w:hint="eastAsia" w:ascii="宋体" w:hAnsi="宋体" w:eastAsia="宋体" w:cs="宋体"/>
          <w:color w:val="auto"/>
          <w:highlight w:val="none"/>
        </w:rPr>
        <w:t>4.1</w:t>
      </w:r>
      <w:bookmarkEnd w:id="824"/>
      <w:bookmarkEnd w:id="825"/>
      <w:bookmarkStart w:id="826" w:name="_Toc78803392"/>
      <w:bookmarkStart w:id="827" w:name="_Toc35425123"/>
      <w:bookmarkStart w:id="828" w:name="_Toc13125"/>
      <w:bookmarkStart w:id="829" w:name="_Toc324404876"/>
      <w:bookmarkStart w:id="830" w:name="_Toc15058922"/>
      <w:bookmarkStart w:id="831" w:name="_Toc35424957"/>
      <w:bookmarkStart w:id="832" w:name="_Toc506107328"/>
      <w:r>
        <w:rPr>
          <w:rFonts w:hint="eastAsia" w:ascii="宋体" w:hAnsi="宋体" w:eastAsia="宋体" w:cs="宋体"/>
          <w:color w:val="auto"/>
          <w:highlight w:val="none"/>
        </w:rPr>
        <w:t>技术标评审</w:t>
      </w:r>
    </w:p>
    <w:p w14:paraId="32E30948">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4.1.1形式性评审标准：见技术标评审表。</w:t>
      </w:r>
    </w:p>
    <w:p w14:paraId="5A796216">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4.1.2响应性评审标准：见技术标评审表。</w:t>
      </w:r>
    </w:p>
    <w:p w14:paraId="6D672E38">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评标委员会依据上述标准对投标文件进行初步评审。有一项不符合评审标准的，作无效投标处理。</w:t>
      </w:r>
    </w:p>
    <w:p w14:paraId="210D627A">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4.1.3 对投标人的技术标进行符合性评审，评审结论采用合格制。其中6-9中有一项不合格的，或其他项中有三项及以上不合格的，技术标即为不合格。对否定的技术标，评标委员会要提出充足的否定理由，并填写在技术标评标记录上。</w:t>
      </w:r>
    </w:p>
    <w:p w14:paraId="02E73996">
      <w:pPr>
        <w:keepNext w:val="0"/>
        <w:keepLines w:val="0"/>
        <w:widowControl w:val="0"/>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color w:val="auto"/>
          <w:highlight w:val="none"/>
        </w:rPr>
        <w:t>4.2</w:t>
      </w:r>
      <w:r>
        <w:rPr>
          <w:rFonts w:hint="eastAsia" w:ascii="宋体" w:hAnsi="宋体" w:eastAsia="宋体" w:cs="宋体"/>
          <w:b/>
          <w:bCs/>
          <w:color w:val="auto"/>
          <w:kern w:val="2"/>
          <w:sz w:val="21"/>
          <w:szCs w:val="21"/>
          <w:highlight w:val="none"/>
          <w:lang w:val="en-US" w:eastAsia="zh-CN" w:bidi="ar"/>
        </w:rPr>
        <w:t>商务标评审</w:t>
      </w:r>
    </w:p>
    <w:p w14:paraId="2069F3AA">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只有通过技术标评审的投标才能够进入本阶段评审。</w:t>
      </w:r>
    </w:p>
    <w:p w14:paraId="1C35D685">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4.2.1形式性评审标准：见商务标评审表。</w:t>
      </w:r>
    </w:p>
    <w:p w14:paraId="230D831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4.2.2响应性评审标准：见商务标评审表。</w:t>
      </w:r>
    </w:p>
    <w:p w14:paraId="21E13D96">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评标委员会依据上述标准对投标文件进行初步评审。有一项不符合评审标准的，作无效投标处理。</w:t>
      </w:r>
    </w:p>
    <w:p w14:paraId="0D51AE0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4.2.3详细评审标准：见商务标评审表。</w:t>
      </w:r>
    </w:p>
    <w:p w14:paraId="3C8E18DA">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4.2.3.1投标报价清标：</w:t>
      </w:r>
    </w:p>
    <w:p w14:paraId="797E34DC">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（1）清标是指通过对需要评审的工程量清单投标报价采用核对、比较、筛选等方法，对基础性数据进行分析和整理。其目的是找出投标文件中可能存在疑义或者显著异常的数据，为评审中的质疑工作提供基础。</w:t>
      </w:r>
    </w:p>
    <w:p w14:paraId="2E0A16DD">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（2）清标工作应当使用计算机辅助评标系统，由计算机完成。</w:t>
      </w:r>
    </w:p>
    <w:p w14:paraId="68B5619D">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（3）清标的内容和步骤：</w:t>
      </w:r>
    </w:p>
    <w:p w14:paraId="065F28DC">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① 投标文件在符合性、响应性等方面存在的偏差。</w:t>
      </w:r>
    </w:p>
    <w:p w14:paraId="1309DC23">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 投标文件存在的算术计算错误和修正结果。</w:t>
      </w:r>
    </w:p>
    <w:p w14:paraId="76B5C4D3">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 在列出的所有偏差中，属于重大偏差的情形和相关依据；在列出的所有偏差中、属于细微偏差的情形。</w:t>
      </w:r>
    </w:p>
    <w:p w14:paraId="4C66114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 列出投标价格过高或过低等的清单项目的序号、项目编码、项目名称、项目特征、与招标文件规定的标准之间存在的偏差幅度和产生原因的摘录。</w:t>
      </w:r>
    </w:p>
    <w:p w14:paraId="36A47C5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4.2.4评标委员会审查投标文件，审核并确认清标结果，包括工程投标报价的校核、审查全部数据计算的正确性、分析各种费用构成的合理性和正确性等内容，看其是否有计算或表达上的错误，投标报价有错误的，评标委员会按以下原则对投标报价进行修正。</w:t>
      </w:r>
    </w:p>
    <w:p w14:paraId="4D9F0ED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（1）投标文件中的大写金额与小写金额不一致的，以大写金额为准。</w:t>
      </w:r>
    </w:p>
    <w:p w14:paraId="1F615FA3">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（2）总价金额与依据单价计算出的结果不一致的，以单价金额为准修正总价，但单价金额小数点有明显错误的除外。</w:t>
      </w:r>
    </w:p>
    <w:p w14:paraId="4F2593F6">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（3）工程量清单报价表中综合单价与工程量清单项目价格分析表相对应综合单价不一致时，以工程量清单项目价格分析表中标出的综合单价为准。</w:t>
      </w:r>
    </w:p>
    <w:p w14:paraId="7548F3C0">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lang w:val="en-US" w:eastAsia="zh-CN" w:bidi="ar"/>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r>
        <w:rPr>
          <w:rFonts w:hint="eastAsia" w:ascii="宋体" w:hAnsi="宋体" w:eastAsia="宋体" w:cs="宋体"/>
          <w:color w:val="auto"/>
          <w:highlight w:val="none"/>
        </w:rPr>
        <w:t>。</w:t>
      </w:r>
    </w:p>
    <w:p w14:paraId="51551E98">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5.无效投标条款</w:t>
      </w:r>
      <w:bookmarkEnd w:id="826"/>
      <w:bookmarkEnd w:id="827"/>
      <w:bookmarkEnd w:id="828"/>
      <w:bookmarkEnd w:id="829"/>
      <w:bookmarkEnd w:id="830"/>
      <w:bookmarkEnd w:id="831"/>
      <w:bookmarkEnd w:id="832"/>
    </w:p>
    <w:p w14:paraId="0591E64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5.1投标人存在下列情形的的招标人将拒收投标文件：</w:t>
      </w:r>
    </w:p>
    <w:p w14:paraId="18CF85E1">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（1）未在投标截止时间前通过网上招标投标系统递交有效电子投标文件的，开标系统不予接收，投标将被拒绝。</w:t>
      </w:r>
    </w:p>
    <w:p w14:paraId="2907B0D0">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D9406E7">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投标人有下列情形的，经评审后其投标作无效投标处理：</w:t>
      </w:r>
    </w:p>
    <w:p w14:paraId="2E5FB7AB">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.1技术标评审</w:t>
      </w:r>
    </w:p>
    <w:p w14:paraId="1322AE6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(1)评标委员会依据《技术标评审表》进行形式性评审和响应性评审。有一项不符合评审标准的，做无效投标处理；</w:t>
      </w:r>
    </w:p>
    <w:p w14:paraId="01C6F8E2">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 评标委员会依据《技术标评审表》对投标人的技术标进行符合性评审，评审结论采用合格制。其中6-9中有一项不合格的，或其他项中有三项及以上不合格的，技术标即为不合格；对否定的技术标，评标委员会要提出充足的否定理由，并填写在技术标评标记录上。</w:t>
      </w:r>
    </w:p>
    <w:p w14:paraId="7BE7357E">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5.2.2商务标评审</w:t>
      </w:r>
    </w:p>
    <w:p w14:paraId="274DA15A">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(1)评标委员会依据《商务标评审表》进行形式性评审和响应性评审。有一项不符合评审标准的，做无效投标处理；</w:t>
      </w:r>
    </w:p>
    <w:p w14:paraId="15AFBF2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（2）商务标详细评审标准中有任何一项不能通过评审的，作无效投标处理</w:t>
      </w:r>
      <w:r>
        <w:rPr>
          <w:rFonts w:hint="eastAsia" w:ascii="宋体" w:hAnsi="宋体" w:cs="宋体"/>
          <w:color w:val="auto"/>
          <w:szCs w:val="21"/>
          <w:highlight w:val="none"/>
          <w:lang w:eastAsia="zh-CN"/>
        </w:rPr>
        <w:t>。</w:t>
      </w:r>
    </w:p>
    <w:p w14:paraId="47CFA92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其他无效投标情况：</w:t>
      </w:r>
    </w:p>
    <w:p w14:paraId="2C11B3E2">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9757C0B">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（2）按第三章《评标方法》4.</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.4条款修正错误的原则及方法调整或修正投标文件的投标报价，调整或修正的价格经投标人书面确认后具有约束力。投标人不接修正价格的，其投标将被拒绝。</w:t>
      </w:r>
    </w:p>
    <w:p w14:paraId="3C36C6CB">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）投标人有串通投标、视为串通投标、弄虚作假、行贿等违法行为。</w:t>
      </w:r>
    </w:p>
    <w:p w14:paraId="7954A0F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）投标文件没有对招标文件的实质性要求和条件作出响应。</w:t>
      </w:r>
    </w:p>
    <w:p w14:paraId="1706800F">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）未按规定的格式填写导致实质性内容不全以及实质上不响应，或者关键字迹模糊、无法辨认的。</w:t>
      </w:r>
    </w:p>
    <w:p w14:paraId="28C036DC">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）同一投标人提交两个以上不同的投标文件或者投标报价，但招标文件规定提交备选投标的除外。</w:t>
      </w:r>
    </w:p>
    <w:p w14:paraId="185F8D6A">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）投标文件中存在招标人不能接受的其他实质性条件。</w:t>
      </w:r>
    </w:p>
    <w:p w14:paraId="5A814031">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）投标文件中填报的拟任项目经理（建造师）与资格审查通过的项目经理（建造师）前后不一致的。</w:t>
      </w:r>
    </w:p>
    <w:p w14:paraId="73F01E5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）投标人拒不按照要求对投标文件进行澄清、说明、补正的，或评标委员会根据招标文件的规定对招标文件的计算错误进行修正后，投标人不接受修正的投标报价的。</w:t>
      </w:r>
    </w:p>
    <w:p w14:paraId="2589E5A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）投标人单方面出现其他投标人材料。</w:t>
      </w:r>
    </w:p>
    <w:p w14:paraId="50B4F429">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）投标人投标MAC地址一致。</w:t>
      </w:r>
    </w:p>
    <w:p w14:paraId="58F77BC1">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12）评标时查询投标文件制作机器码、文件创建标识码及造价软件加密锁号。若存在投标文件制作机器码或创建标识码或造价软件加密锁号信息与其他投标人雷同的，投标无效</w:t>
      </w:r>
      <w:r>
        <w:rPr>
          <w:rFonts w:hint="eastAsia" w:ascii="宋体" w:hAnsi="宋体" w:cs="宋体"/>
          <w:color w:val="auto"/>
          <w:szCs w:val="21"/>
          <w:highlight w:val="none"/>
          <w:lang w:val="en-US" w:eastAsia="zh-CN"/>
        </w:rPr>
        <w:t>。</w:t>
      </w:r>
    </w:p>
    <w:p w14:paraId="32BA7973">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eastAsia="宋体" w:cs="宋体"/>
          <w:color w:val="auto"/>
          <w:szCs w:val="21"/>
          <w:highlight w:val="none"/>
        </w:rPr>
        <w:t>法律、法规规定的其他情形。</w:t>
      </w:r>
    </w:p>
    <w:p w14:paraId="0353053F">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33" w:name="_Toc35425124"/>
      <w:bookmarkStart w:id="834" w:name="_Toc15058923"/>
      <w:bookmarkStart w:id="835" w:name="_Toc35424958"/>
      <w:bookmarkStart w:id="836" w:name="_Toc27846"/>
      <w:bookmarkStart w:id="837" w:name="_Toc506107329"/>
      <w:bookmarkStart w:id="838" w:name="_Toc78803393"/>
      <w:bookmarkStart w:id="839" w:name="_Toc324404877"/>
      <w:r>
        <w:rPr>
          <w:rFonts w:hint="eastAsia" w:ascii="宋体" w:hAnsi="宋体" w:eastAsia="宋体" w:cs="宋体"/>
          <w:color w:val="auto"/>
          <w:highlight w:val="none"/>
        </w:rPr>
        <w:t>6.投标文件的澄清和补正</w:t>
      </w:r>
      <w:bookmarkEnd w:id="833"/>
      <w:bookmarkEnd w:id="834"/>
      <w:bookmarkEnd w:id="835"/>
      <w:bookmarkEnd w:id="836"/>
      <w:bookmarkEnd w:id="837"/>
      <w:bookmarkEnd w:id="838"/>
      <w:bookmarkEnd w:id="839"/>
    </w:p>
    <w:p w14:paraId="6B60B036">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5566E826">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6.2澄清、说明和补正不得改变投标文件的实质性内容（算术性错误修正的除外）。投标人的书面澄清、说明和补正属于投标文件的组成部分。</w:t>
      </w:r>
    </w:p>
    <w:p w14:paraId="4653CAE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6.3评标委员会对投标人提交的澄清、说明和补正有疑问的，可以要求投标人进一步澄清、说明或补正、直至满足评标委员会的要求。</w:t>
      </w:r>
    </w:p>
    <w:p w14:paraId="6940A8EE">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66DDEAF3">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40" w:name="_Toc13990"/>
      <w:bookmarkStart w:id="841" w:name="_Toc506107330"/>
      <w:bookmarkStart w:id="842" w:name="_Toc35424959"/>
      <w:bookmarkStart w:id="843" w:name="_Toc35425125"/>
      <w:bookmarkStart w:id="844" w:name="_Toc324404878"/>
      <w:bookmarkStart w:id="845" w:name="_Toc15058924"/>
      <w:bookmarkStart w:id="846" w:name="_Toc78803394"/>
      <w:r>
        <w:rPr>
          <w:rFonts w:hint="eastAsia" w:ascii="宋体" w:hAnsi="宋体" w:eastAsia="宋体" w:cs="宋体"/>
          <w:color w:val="auto"/>
          <w:highlight w:val="none"/>
        </w:rPr>
        <w:t>7.评分标准</w:t>
      </w:r>
      <w:bookmarkEnd w:id="840"/>
      <w:bookmarkEnd w:id="841"/>
      <w:bookmarkEnd w:id="842"/>
      <w:bookmarkEnd w:id="843"/>
      <w:bookmarkEnd w:id="844"/>
      <w:bookmarkEnd w:id="845"/>
      <w:bookmarkEnd w:id="846"/>
    </w:p>
    <w:p w14:paraId="573CB804">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评分标准：见</w:t>
      </w:r>
      <w:r>
        <w:rPr>
          <w:rFonts w:hint="eastAsia" w:ascii="宋体" w:hAnsi="宋体" w:cs="宋体"/>
          <w:color w:val="auto"/>
          <w:szCs w:val="21"/>
          <w:highlight w:val="none"/>
          <w:lang w:val="en-US" w:eastAsia="zh-CN"/>
        </w:rPr>
        <w:t>资信、技术及</w:t>
      </w:r>
      <w:r>
        <w:rPr>
          <w:rFonts w:hint="eastAsia" w:ascii="宋体" w:hAnsi="宋体" w:cs="宋体"/>
          <w:color w:val="auto"/>
          <w:szCs w:val="21"/>
          <w:highlight w:val="none"/>
        </w:rPr>
        <w:t>商务标评审表。</w:t>
      </w:r>
    </w:p>
    <w:p w14:paraId="045E90A1">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47" w:name="_Toc506107331"/>
      <w:bookmarkStart w:id="848" w:name="_Toc324404879"/>
      <w:bookmarkStart w:id="849" w:name="_Toc35425126"/>
      <w:bookmarkStart w:id="850" w:name="_Toc15058925"/>
      <w:bookmarkStart w:id="851" w:name="_Toc22863"/>
      <w:bookmarkStart w:id="852" w:name="_Toc78803395"/>
      <w:bookmarkStart w:id="853" w:name="_Toc35424960"/>
      <w:r>
        <w:rPr>
          <w:rFonts w:hint="eastAsia" w:ascii="宋体" w:hAnsi="宋体" w:eastAsia="宋体" w:cs="宋体"/>
          <w:color w:val="auto"/>
          <w:highlight w:val="none"/>
        </w:rPr>
        <w:t>8.评审结果</w:t>
      </w:r>
      <w:bookmarkEnd w:id="847"/>
      <w:bookmarkEnd w:id="848"/>
      <w:bookmarkEnd w:id="849"/>
      <w:bookmarkEnd w:id="850"/>
      <w:bookmarkEnd w:id="851"/>
      <w:bookmarkEnd w:id="852"/>
      <w:bookmarkEnd w:id="853"/>
    </w:p>
    <w:p w14:paraId="11A62683">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8.1除投标人须知前附表授权直接确定中标人外，评标委员会按照</w:t>
      </w:r>
      <w:r>
        <w:rPr>
          <w:rFonts w:hint="eastAsia" w:ascii="宋体" w:hAnsi="宋体" w:cs="宋体"/>
          <w:color w:val="auto"/>
          <w:szCs w:val="21"/>
          <w:highlight w:val="none"/>
          <w:lang w:val="en-US" w:eastAsia="zh-CN"/>
        </w:rPr>
        <w:t>评标办法规定</w:t>
      </w:r>
      <w:r>
        <w:rPr>
          <w:rFonts w:hint="eastAsia" w:ascii="宋体" w:hAnsi="宋体" w:cs="宋体"/>
          <w:color w:val="auto"/>
          <w:szCs w:val="21"/>
          <w:highlight w:val="none"/>
        </w:rPr>
        <w:t>推荐中标候选人。</w:t>
      </w:r>
    </w:p>
    <w:p w14:paraId="0E2651CA">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8.2评标委员会完成评标后，应当向招标人提交书面评标报告。评标报告应当如实记载以下内容：</w:t>
      </w:r>
    </w:p>
    <w:p w14:paraId="238F52C8">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（1）基本情况和数据表。</w:t>
      </w:r>
    </w:p>
    <w:p w14:paraId="65B3C4C6">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（2）评标委员会成员名单。</w:t>
      </w:r>
    </w:p>
    <w:p w14:paraId="194474DD">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（3）开标记录。</w:t>
      </w:r>
    </w:p>
    <w:p w14:paraId="791671E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（4）符合要求的投标人一览表。</w:t>
      </w:r>
    </w:p>
    <w:p w14:paraId="20299AF4">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（5）否决投标情况说明。</w:t>
      </w:r>
    </w:p>
    <w:p w14:paraId="4CAD039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（6）评标标准、评标方法或者评标因素。</w:t>
      </w:r>
    </w:p>
    <w:p w14:paraId="5A1B033F">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（7）评标情况一览表。</w:t>
      </w:r>
    </w:p>
    <w:p w14:paraId="2A48E275">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（8）经评审的投标人排序。</w:t>
      </w:r>
    </w:p>
    <w:p w14:paraId="5F5136D0">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（9）推荐的中标候选人名单与签订合同前要处理的事宜。</w:t>
      </w:r>
    </w:p>
    <w:p w14:paraId="60CB7F22">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（10）澄清、说明、补正事项纪要。</w:t>
      </w:r>
    </w:p>
    <w:p w14:paraId="35FE1E15">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eastAsia="宋体" w:cs="宋体"/>
          <w:color w:val="auto"/>
          <w:szCs w:val="21"/>
          <w:highlight w:val="none"/>
        </w:rPr>
        <w:t>8.3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EFCF4BC">
      <w:pPr>
        <w:pageBreakBefore w:val="0"/>
        <w:widowControl w:val="0"/>
        <w:kinsoku/>
        <w:wordWrap/>
        <w:overflowPunct/>
        <w:topLinePunct w:val="0"/>
        <w:autoSpaceDE/>
        <w:autoSpaceDN/>
        <w:bidi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D7F3DB2">
      <w:pPr>
        <w:pStyle w:val="7"/>
        <w:pageBreakBefore w:val="0"/>
        <w:widowControl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bookmarkStart w:id="854" w:name="_Toc506107332"/>
      <w:bookmarkStart w:id="855" w:name="_Toc35424961"/>
      <w:bookmarkStart w:id="856" w:name="_Toc78803396"/>
      <w:bookmarkStart w:id="857" w:name="_Toc1576"/>
      <w:bookmarkStart w:id="858" w:name="_Toc324404880"/>
      <w:bookmarkStart w:id="859" w:name="_Toc35425127"/>
      <w:bookmarkStart w:id="860" w:name="_Toc15058926"/>
      <w:r>
        <w:rPr>
          <w:rFonts w:hint="eastAsia" w:ascii="宋体" w:hAnsi="宋体" w:eastAsia="宋体" w:cs="宋体"/>
          <w:color w:val="auto"/>
          <w:highlight w:val="none"/>
        </w:rPr>
        <w:t>9.其他</w:t>
      </w:r>
      <w:bookmarkEnd w:id="854"/>
      <w:bookmarkEnd w:id="855"/>
      <w:bookmarkEnd w:id="856"/>
      <w:bookmarkEnd w:id="857"/>
      <w:bookmarkEnd w:id="858"/>
      <w:bookmarkEnd w:id="859"/>
      <w:bookmarkEnd w:id="860"/>
    </w:p>
    <w:bookmarkEnd w:id="780"/>
    <w:bookmarkEnd w:id="781"/>
    <w:bookmarkEnd w:id="782"/>
    <w:bookmarkEnd w:id="783"/>
    <w:bookmarkEnd w:id="784"/>
    <w:bookmarkEnd w:id="785"/>
    <w:bookmarkEnd w:id="786"/>
    <w:bookmarkEnd w:id="787"/>
    <w:p w14:paraId="5E753CC7">
      <w:pPr>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Cs w:val="21"/>
          <w:highlight w:val="none"/>
        </w:rPr>
      </w:pPr>
      <w:bookmarkStart w:id="861" w:name="_Toc15058927"/>
      <w:bookmarkStart w:id="862" w:name="_Toc506107333"/>
      <w:bookmarkStart w:id="863" w:name="_Toc35424962"/>
      <w:bookmarkStart w:id="864" w:name="_Toc35425128"/>
      <w:bookmarkStart w:id="865" w:name="_Toc179632785"/>
      <w:bookmarkStart w:id="866" w:name="_Toc152045767"/>
      <w:bookmarkStart w:id="867" w:name="_Toc152042546"/>
      <w:bookmarkStart w:id="868" w:name="_Toc144974826"/>
      <w:r>
        <w:rPr>
          <w:rFonts w:hint="eastAsia" w:ascii="宋体" w:hAnsi="宋体" w:eastAsia="宋体" w:cs="宋体"/>
          <w:color w:val="auto"/>
          <w:szCs w:val="21"/>
          <w:highlight w:val="none"/>
        </w:rPr>
        <w:t>投标人提供的与投标文件有关的各类证书、证明、文件、资料等的真实性、合法性由投标人负全责。</w:t>
      </w:r>
    </w:p>
    <w:p w14:paraId="21330EDB">
      <w:pPr>
        <w:rPr>
          <w:color w:val="auto"/>
          <w:highlight w:val="none"/>
        </w:rPr>
      </w:pPr>
    </w:p>
    <w:p w14:paraId="184EE62F">
      <w:pPr>
        <w:rPr>
          <w:rFonts w:hint="eastAsia"/>
          <w:color w:val="auto"/>
          <w:highlight w:val="none"/>
        </w:rPr>
      </w:pPr>
      <w:r>
        <w:rPr>
          <w:rFonts w:hint="eastAsia"/>
          <w:color w:val="auto"/>
          <w:highlight w:val="none"/>
        </w:rPr>
        <w:br w:type="page"/>
      </w:r>
      <w:bookmarkStart w:id="869" w:name="_Toc78803397"/>
    </w:p>
    <w:bookmarkEnd w:id="861"/>
    <w:bookmarkEnd w:id="862"/>
    <w:bookmarkEnd w:id="863"/>
    <w:bookmarkEnd w:id="864"/>
    <w:bookmarkEnd w:id="869"/>
    <w:p w14:paraId="51F85308">
      <w:pPr>
        <w:pStyle w:val="6"/>
        <w:rPr>
          <w:rFonts w:hint="eastAsia" w:ascii="Arial" w:hAnsi="Arial"/>
          <w:color w:val="auto"/>
          <w:kern w:val="0"/>
          <w:sz w:val="32"/>
          <w:szCs w:val="32"/>
          <w:highlight w:val="none"/>
        </w:rPr>
      </w:pPr>
      <w:bookmarkStart w:id="870" w:name="_Toc16721"/>
    </w:p>
    <w:p w14:paraId="47DAF6BF">
      <w:pPr>
        <w:pStyle w:val="6"/>
        <w:rPr>
          <w:color w:val="auto"/>
          <w:highlight w:val="none"/>
        </w:rPr>
      </w:pPr>
      <w:bookmarkStart w:id="871" w:name="_Toc8750"/>
      <w:bookmarkStart w:id="872" w:name="_Toc7231"/>
      <w:bookmarkStart w:id="873" w:name="_Toc27074"/>
      <w:r>
        <w:rPr>
          <w:rFonts w:hint="eastAsia" w:ascii="Arial" w:hAnsi="Arial"/>
          <w:color w:val="auto"/>
          <w:kern w:val="0"/>
          <w:sz w:val="32"/>
          <w:szCs w:val="32"/>
          <w:highlight w:val="none"/>
        </w:rPr>
        <w:t>第</w:t>
      </w:r>
      <w:r>
        <w:rPr>
          <w:rFonts w:hint="eastAsia" w:ascii="Arial" w:hAnsi="Arial"/>
          <w:color w:val="auto"/>
          <w:kern w:val="0"/>
          <w:sz w:val="32"/>
          <w:szCs w:val="32"/>
          <w:highlight w:val="none"/>
          <w:lang w:val="en-US" w:eastAsia="zh-CN"/>
        </w:rPr>
        <w:t>四</w:t>
      </w:r>
      <w:r>
        <w:rPr>
          <w:rFonts w:hint="eastAsia" w:ascii="Arial" w:hAnsi="Arial"/>
          <w:color w:val="auto"/>
          <w:kern w:val="0"/>
          <w:sz w:val="32"/>
          <w:szCs w:val="32"/>
          <w:highlight w:val="none"/>
        </w:rPr>
        <w:t>章  合同条款及格式</w:t>
      </w:r>
      <w:bookmarkEnd w:id="870"/>
      <w:bookmarkEnd w:id="871"/>
      <w:bookmarkEnd w:id="872"/>
      <w:bookmarkEnd w:id="873"/>
    </w:p>
    <w:p w14:paraId="58BD9846">
      <w:pPr>
        <w:spacing w:line="360" w:lineRule="auto"/>
        <w:jc w:val="center"/>
        <w:rPr>
          <w:rFonts w:ascii="仿宋_GB2312" w:eastAsia="仿宋_GB2312"/>
          <w:b/>
          <w:color w:val="auto"/>
          <w:sz w:val="28"/>
          <w:szCs w:val="28"/>
          <w:highlight w:val="none"/>
        </w:rPr>
      </w:pPr>
    </w:p>
    <w:p w14:paraId="08173785">
      <w:pPr>
        <w:jc w:val="both"/>
        <w:rPr>
          <w:rFonts w:eastAsia="仿宋_GB2312"/>
          <w:bCs/>
          <w:color w:val="auto"/>
          <w:sz w:val="32"/>
          <w:szCs w:val="32"/>
          <w:highlight w:val="none"/>
          <w:u w:val="single"/>
        </w:rPr>
      </w:pPr>
      <w:bookmarkStart w:id="874" w:name="_Toc60061567"/>
      <w:r>
        <w:rPr>
          <w:rFonts w:hint="eastAsia" w:eastAsia="仿宋_GB2312"/>
          <w:bCs/>
          <w:color w:val="auto"/>
          <w:sz w:val="32"/>
          <w:szCs w:val="32"/>
          <w:highlight w:val="none"/>
        </w:rPr>
        <w:t>合同编号：</w:t>
      </w:r>
      <w:r>
        <w:rPr>
          <w:rFonts w:hint="eastAsia" w:eastAsia="仿宋_GB2312"/>
          <w:bCs/>
          <w:color w:val="auto"/>
          <w:sz w:val="32"/>
          <w:szCs w:val="32"/>
          <w:highlight w:val="none"/>
          <w:u w:val="single"/>
        </w:rPr>
        <w:t>（HT-YL- ）</w:t>
      </w:r>
    </w:p>
    <w:p w14:paraId="3471F4D4">
      <w:pPr>
        <w:jc w:val="center"/>
        <w:rPr>
          <w:rFonts w:eastAsia="华文中宋"/>
          <w:b/>
          <w:color w:val="auto"/>
          <w:sz w:val="52"/>
          <w:szCs w:val="52"/>
          <w:highlight w:val="none"/>
        </w:rPr>
      </w:pPr>
    </w:p>
    <w:p w14:paraId="4546493B">
      <w:pPr>
        <w:ind w:firstLine="1771" w:firstLineChars="245"/>
        <w:rPr>
          <w:rFonts w:hint="eastAsia" w:ascii="宋体" w:hAnsi="宋体" w:cs="宋体"/>
          <w:b/>
          <w:color w:val="auto"/>
          <w:sz w:val="72"/>
          <w:szCs w:val="52"/>
          <w:highlight w:val="none"/>
        </w:rPr>
      </w:pPr>
    </w:p>
    <w:p w14:paraId="1BD75F33">
      <w:pPr>
        <w:ind w:firstLine="1771" w:firstLineChars="245"/>
        <w:rPr>
          <w:rFonts w:hint="eastAsia" w:ascii="宋体" w:hAnsi="宋体" w:cs="宋体"/>
          <w:b/>
          <w:color w:val="auto"/>
          <w:sz w:val="72"/>
          <w:szCs w:val="52"/>
          <w:highlight w:val="none"/>
        </w:rPr>
      </w:pPr>
    </w:p>
    <w:p w14:paraId="62A60903">
      <w:pPr>
        <w:ind w:firstLine="1771" w:firstLineChars="245"/>
        <w:rPr>
          <w:rFonts w:eastAsia="华文中宋"/>
          <w:b/>
          <w:color w:val="auto"/>
          <w:sz w:val="52"/>
          <w:szCs w:val="52"/>
          <w:highlight w:val="none"/>
        </w:rPr>
      </w:pPr>
      <w:r>
        <w:rPr>
          <w:rFonts w:hint="eastAsia" w:ascii="宋体" w:hAnsi="宋体" w:cs="宋体"/>
          <w:b/>
          <w:color w:val="auto"/>
          <w:sz w:val="72"/>
          <w:szCs w:val="52"/>
          <w:highlight w:val="none"/>
        </w:rPr>
        <w:t>建设工程施工合同</w:t>
      </w:r>
      <w:r>
        <w:rPr>
          <w:rFonts w:eastAsia="华文中宋"/>
          <w:b/>
          <w:color w:val="auto"/>
          <w:sz w:val="52"/>
          <w:szCs w:val="52"/>
          <w:highlight w:val="none"/>
        </w:rPr>
        <w:br w:type="textWrapping"/>
      </w:r>
      <w:r>
        <w:rPr>
          <w:rFonts w:eastAsia="华文中宋"/>
          <w:b/>
          <w:color w:val="auto"/>
          <w:sz w:val="52"/>
          <w:szCs w:val="52"/>
          <w:highlight w:val="none"/>
        </w:rPr>
        <w:t xml:space="preserve"> </w:t>
      </w:r>
    </w:p>
    <w:p w14:paraId="1D5C37F9">
      <w:pPr>
        <w:jc w:val="center"/>
        <w:rPr>
          <w:rFonts w:eastAsia="华文中宋"/>
          <w:b/>
          <w:color w:val="auto"/>
          <w:sz w:val="52"/>
          <w:szCs w:val="52"/>
          <w:highlight w:val="none"/>
        </w:rPr>
      </w:pPr>
    </w:p>
    <w:p w14:paraId="48A16A32">
      <w:pPr>
        <w:jc w:val="center"/>
        <w:rPr>
          <w:rFonts w:eastAsia="黑体"/>
          <w:b/>
          <w:color w:val="auto"/>
          <w:sz w:val="72"/>
          <w:szCs w:val="72"/>
          <w:highlight w:val="none"/>
        </w:rPr>
      </w:pPr>
    </w:p>
    <w:p w14:paraId="4A3B29BC">
      <w:pPr>
        <w:jc w:val="center"/>
        <w:rPr>
          <w:rFonts w:eastAsia="楷体_GB2312"/>
          <w:b/>
          <w:color w:val="auto"/>
          <w:sz w:val="72"/>
          <w:szCs w:val="72"/>
          <w:highlight w:val="none"/>
        </w:rPr>
      </w:pPr>
    </w:p>
    <w:p w14:paraId="294DACE4">
      <w:pPr>
        <w:jc w:val="center"/>
        <w:rPr>
          <w:rFonts w:hint="eastAsia" w:eastAsia="黑体"/>
          <w:b/>
          <w:color w:val="auto"/>
          <w:sz w:val="52"/>
          <w:szCs w:val="52"/>
          <w:highlight w:val="none"/>
          <w:lang w:eastAsia="zh-CN"/>
        </w:rPr>
      </w:pPr>
    </w:p>
    <w:p w14:paraId="0CF56B63">
      <w:pPr>
        <w:jc w:val="center"/>
        <w:rPr>
          <w:rFonts w:hint="eastAsia" w:eastAsia="黑体"/>
          <w:b/>
          <w:color w:val="auto"/>
          <w:sz w:val="52"/>
          <w:szCs w:val="52"/>
          <w:highlight w:val="none"/>
          <w:lang w:eastAsia="zh-CN"/>
        </w:rPr>
      </w:pPr>
    </w:p>
    <w:p w14:paraId="602C1DAA">
      <w:pPr>
        <w:rPr>
          <w:b/>
          <w:color w:val="auto"/>
          <w:sz w:val="28"/>
          <w:szCs w:val="28"/>
          <w:highlight w:val="none"/>
        </w:rPr>
      </w:pPr>
    </w:p>
    <w:p w14:paraId="53784D56">
      <w:pPr>
        <w:rPr>
          <w:b/>
          <w:color w:val="auto"/>
          <w:sz w:val="28"/>
          <w:szCs w:val="28"/>
          <w:highlight w:val="none"/>
        </w:rPr>
      </w:pPr>
    </w:p>
    <w:p w14:paraId="0F74732D">
      <w:pPr>
        <w:widowControl w:val="0"/>
        <w:spacing w:after="120" w:line="360" w:lineRule="auto"/>
        <w:ind w:left="420" w:leftChars="200" w:firstLine="562" w:firstLineChars="200"/>
        <w:jc w:val="both"/>
        <w:rPr>
          <w:rFonts w:ascii="宋体" w:hAnsi="Times New Roman" w:eastAsia="宋体" w:cs="Times New Roman"/>
          <w:b/>
          <w:color w:val="auto"/>
          <w:kern w:val="2"/>
          <w:sz w:val="28"/>
          <w:szCs w:val="28"/>
          <w:highlight w:val="none"/>
          <w:lang w:val="en-US" w:eastAsia="zh-CN" w:bidi="ar-SA"/>
        </w:rPr>
      </w:pPr>
    </w:p>
    <w:p w14:paraId="116AB070">
      <w:pPr>
        <w:widowControl w:val="0"/>
        <w:spacing w:after="120" w:line="360" w:lineRule="auto"/>
        <w:ind w:left="420" w:leftChars="200" w:firstLine="420" w:firstLineChars="200"/>
        <w:jc w:val="both"/>
        <w:rPr>
          <w:rFonts w:ascii="宋体" w:hAnsi="Times New Roman" w:eastAsia="宋体" w:cs="Times New Roman"/>
          <w:color w:val="auto"/>
          <w:kern w:val="2"/>
          <w:sz w:val="21"/>
          <w:szCs w:val="20"/>
          <w:highlight w:val="none"/>
          <w:lang w:val="en-US" w:eastAsia="zh-CN" w:bidi="ar-SA"/>
        </w:rPr>
      </w:pPr>
    </w:p>
    <w:p w14:paraId="0460971D">
      <w:pPr>
        <w:jc w:val="center"/>
        <w:rPr>
          <w:b/>
          <w:color w:val="auto"/>
          <w:sz w:val="28"/>
          <w:szCs w:val="28"/>
          <w:highlight w:val="none"/>
        </w:rPr>
      </w:pPr>
    </w:p>
    <w:p w14:paraId="4BFCA07B">
      <w:pPr>
        <w:jc w:val="center"/>
        <w:rPr>
          <w:b/>
          <w:color w:val="auto"/>
          <w:sz w:val="32"/>
          <w:szCs w:val="28"/>
          <w:highlight w:val="none"/>
        </w:rPr>
      </w:pPr>
      <w:r>
        <w:rPr>
          <w:color w:val="auto"/>
          <w:szCs w:val="22"/>
          <w:highlight w:val="none"/>
        </w:rPr>
        <mc:AlternateContent>
          <mc:Choice Requires="wps">
            <w:drawing>
              <wp:anchor distT="0" distB="0" distL="114300" distR="114300" simplePos="0" relativeHeight="251659264" behindDoc="0" locked="0" layoutInCell="1" allowOverlap="1">
                <wp:simplePos x="0" y="0"/>
                <wp:positionH relativeFrom="column">
                  <wp:posOffset>4495800</wp:posOffset>
                </wp:positionH>
                <wp:positionV relativeFrom="paragraph">
                  <wp:posOffset>213360</wp:posOffset>
                </wp:positionV>
                <wp:extent cx="723900" cy="4572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41F46D80">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54pt;margin-top:16.8pt;height:36pt;width:57pt;z-index:251659264;mso-width-relative:page;mso-height-relative:page;" filled="f" stroked="t" coordsize="21600,21600" o:gfxdata="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&#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tzKmrZAAAACgEAAA8AAAAAAAAAAQAgAAAAIgAAAGRy&#10;cy9kb3ducmV2LnhtbFBLAQIUABQAAAAIAIdO4kDtHmq6BAIAAAwEAAAOAAAAAAAAAAEAIAAAACgB&#10;AABkcnMvZTJvRG9jLnhtbFBLBQYAAAAABgAGAFkBAACeBQAAAAA=&#10;">
                <v:fill on="f" focussize="0,0"/>
                <v:stroke color="#FFFFFF" joinstyle="miter"/>
                <v:imagedata o:title=""/>
                <o:lock v:ext="edit" aspectratio="f"/>
                <v:textbox>
                  <w:txbxContent>
                    <w:p w14:paraId="41F46D80">
                      <w:pPr>
                        <w:rPr>
                          <w:b/>
                          <w:bCs/>
                          <w:sz w:val="32"/>
                        </w:rPr>
                      </w:pPr>
                      <w:r>
                        <w:rPr>
                          <w:rFonts w:hint="eastAsia"/>
                          <w:b/>
                          <w:bCs/>
                          <w:sz w:val="32"/>
                        </w:rPr>
                        <w:t>制定</w:t>
                      </w:r>
                    </w:p>
                  </w:txbxContent>
                </v:textbox>
              </v:shape>
            </w:pict>
          </mc:Fallback>
        </mc:AlternateContent>
      </w:r>
      <w:r>
        <w:rPr>
          <w:rFonts w:hint="eastAsia"/>
          <w:b/>
          <w:color w:val="auto"/>
          <w:sz w:val="32"/>
          <w:szCs w:val="28"/>
          <w:highlight w:val="none"/>
        </w:rPr>
        <w:t>住房和城乡建设部</w:t>
      </w:r>
    </w:p>
    <w:p w14:paraId="7B058E57">
      <w:pPr>
        <w:jc w:val="center"/>
        <w:outlineLvl w:val="0"/>
        <w:rPr>
          <w:rFonts w:hint="eastAsia"/>
          <w:b/>
          <w:color w:val="auto"/>
          <w:sz w:val="32"/>
          <w:szCs w:val="28"/>
          <w:highlight w:val="none"/>
        </w:rPr>
      </w:pPr>
      <w:bookmarkStart w:id="875" w:name="_Toc12138"/>
      <w:bookmarkStart w:id="876" w:name="_Toc1470"/>
      <w:bookmarkStart w:id="877" w:name="_Toc32748"/>
      <w:bookmarkStart w:id="878" w:name="_Toc30846"/>
      <w:r>
        <w:rPr>
          <w:rFonts w:hint="eastAsia"/>
          <w:b/>
          <w:color w:val="auto"/>
          <w:sz w:val="32"/>
          <w:szCs w:val="28"/>
          <w:highlight w:val="none"/>
        </w:rPr>
        <w:t>国家工商行政管理总局</w:t>
      </w:r>
      <w:bookmarkEnd w:id="875"/>
      <w:bookmarkEnd w:id="876"/>
      <w:bookmarkEnd w:id="877"/>
      <w:bookmarkEnd w:id="878"/>
    </w:p>
    <w:p w14:paraId="13055D47">
      <w:pPr>
        <w:widowControl w:val="0"/>
        <w:spacing w:after="120" w:line="360" w:lineRule="auto"/>
        <w:ind w:left="420" w:leftChars="200" w:firstLine="420" w:firstLineChars="200"/>
        <w:jc w:val="both"/>
        <w:rPr>
          <w:rFonts w:hint="eastAsia" w:ascii="宋体" w:hAnsi="Times New Roman" w:eastAsia="宋体" w:cs="Times New Roman"/>
          <w:color w:val="auto"/>
          <w:kern w:val="2"/>
          <w:sz w:val="21"/>
          <w:szCs w:val="20"/>
          <w:highlight w:val="none"/>
          <w:lang w:val="en-US" w:eastAsia="zh-CN" w:bidi="ar-SA"/>
        </w:rPr>
      </w:pPr>
    </w:p>
    <w:bookmarkEnd w:id="874"/>
    <w:p w14:paraId="3A55EC10">
      <w:pPr>
        <w:rPr>
          <w:rFonts w:hint="eastAsia"/>
          <w:color w:val="auto"/>
          <w:highlight w:val="none"/>
        </w:rPr>
      </w:pPr>
      <w:r>
        <w:rPr>
          <w:rFonts w:hint="eastAsia"/>
          <w:color w:val="auto"/>
          <w:highlight w:val="none"/>
        </w:rPr>
        <w:br w:type="page"/>
      </w:r>
    </w:p>
    <w:p w14:paraId="3A5A1B14">
      <w:pPr>
        <w:keepNext/>
        <w:keepLines/>
        <w:spacing w:line="360" w:lineRule="auto"/>
        <w:jc w:val="center"/>
        <w:outlineLvl w:val="1"/>
        <w:rPr>
          <w:rFonts w:hint="eastAsia" w:ascii="宋体" w:hAnsi="宋体" w:cs="宋体"/>
          <w:b/>
          <w:bCs/>
          <w:color w:val="auto"/>
          <w:sz w:val="32"/>
          <w:szCs w:val="32"/>
          <w:highlight w:val="none"/>
        </w:rPr>
      </w:pPr>
      <w:bookmarkStart w:id="879" w:name="_Toc95223459"/>
      <w:bookmarkStart w:id="880" w:name="_Toc3977"/>
      <w:bookmarkStart w:id="881" w:name="_Toc28799376"/>
      <w:bookmarkStart w:id="882" w:name="_Toc2308"/>
      <w:bookmarkStart w:id="883" w:name="_Toc29801"/>
      <w:r>
        <w:rPr>
          <w:rFonts w:hint="eastAsia" w:ascii="宋体" w:hAnsi="宋体" w:cs="宋体"/>
          <w:b/>
          <w:bCs/>
          <w:color w:val="auto"/>
          <w:sz w:val="32"/>
          <w:szCs w:val="32"/>
          <w:highlight w:val="none"/>
        </w:rPr>
        <w:t>第一节  合同协议书</w:t>
      </w:r>
      <w:bookmarkEnd w:id="879"/>
      <w:bookmarkEnd w:id="880"/>
      <w:bookmarkEnd w:id="881"/>
    </w:p>
    <w:p w14:paraId="4B1FDD70">
      <w:pPr>
        <w:spacing w:line="360" w:lineRule="auto"/>
        <w:rPr>
          <w:rFonts w:hint="default" w:ascii="宋体" w:hAnsi="宋体" w:eastAsia="宋体" w:cs="宋体"/>
          <w:b/>
          <w:color w:val="auto"/>
          <w:sz w:val="24"/>
          <w:highlight w:val="none"/>
          <w:u w:val="single"/>
          <w:lang w:val="en-US" w:eastAsia="zh-CN"/>
        </w:rPr>
      </w:pPr>
      <w:r>
        <w:rPr>
          <w:rFonts w:hint="eastAsia" w:ascii="宋体" w:hAnsi="宋体" w:cs="宋体"/>
          <w:b/>
          <w:color w:val="auto"/>
          <w:sz w:val="24"/>
          <w:highlight w:val="none"/>
          <w:u w:val="single"/>
        </w:rPr>
        <w:t>发包人（全称）：</w:t>
      </w:r>
      <w:r>
        <w:rPr>
          <w:rFonts w:hint="eastAsia" w:ascii="宋体" w:hAnsi="宋体" w:cs="宋体"/>
          <w:b/>
          <w:color w:val="auto"/>
          <w:sz w:val="24"/>
          <w:highlight w:val="none"/>
          <w:u w:val="single"/>
          <w:lang w:val="en-US" w:eastAsia="zh-CN"/>
        </w:rPr>
        <w:t>安徽省琅琊山旅游发展有限公司</w:t>
      </w:r>
    </w:p>
    <w:p w14:paraId="1426B2BD">
      <w:pPr>
        <w:spacing w:line="360" w:lineRule="auto"/>
        <w:rPr>
          <w:rFonts w:hint="eastAsia" w:ascii="宋体" w:hAnsi="宋体" w:cs="宋体"/>
          <w:b/>
          <w:color w:val="auto"/>
          <w:sz w:val="30"/>
          <w:szCs w:val="30"/>
          <w:highlight w:val="none"/>
          <w:u w:val="single"/>
        </w:rPr>
      </w:pPr>
      <w:r>
        <w:rPr>
          <w:rFonts w:hint="eastAsia" w:ascii="宋体" w:hAnsi="宋体" w:cs="宋体"/>
          <w:b/>
          <w:color w:val="auto"/>
          <w:sz w:val="24"/>
          <w:highlight w:val="none"/>
          <w:u w:val="single"/>
        </w:rPr>
        <w:t>承包人（全称）：               </w:t>
      </w:r>
    </w:p>
    <w:p w14:paraId="7F41C72A">
      <w:pPr>
        <w:spacing w:line="360" w:lineRule="auto"/>
        <w:ind w:firstLine="420" w:firstLineChars="200"/>
        <w:rPr>
          <w:rFonts w:hint="eastAsia" w:ascii="宋体" w:hAnsi="宋体" w:cs="宋体"/>
          <w:color w:val="auto"/>
          <w:szCs w:val="21"/>
          <w:highlight w:val="none"/>
          <w:u w:val="single"/>
        </w:rPr>
      </w:pPr>
    </w:p>
    <w:p w14:paraId="0475AD7B">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根据《中华人民共和国民法典》《中华人民共和国建筑法》及有关法律规定，遵循平等、自愿、公平和诚实信用的原则，双方就</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工程施工及</w:t>
      </w:r>
      <w:r>
        <w:rPr>
          <w:rFonts w:hint="eastAsia" w:ascii="宋体" w:hAnsi="宋体" w:cs="宋体"/>
          <w:color w:val="auto"/>
          <w:szCs w:val="21"/>
          <w:highlight w:val="none"/>
          <w:u w:val="single"/>
        </w:rPr>
        <w:t>有关事项协商一致，共同达成如下协议：</w:t>
      </w:r>
      <w:bookmarkStart w:id="884" w:name="_Toc351203481"/>
    </w:p>
    <w:p w14:paraId="3C2FD805">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color w:val="auto"/>
          <w:szCs w:val="21"/>
          <w:highlight w:val="none"/>
          <w:u w:val="single"/>
        </w:rPr>
      </w:pPr>
      <w:r>
        <w:rPr>
          <w:rFonts w:hint="eastAsia" w:ascii="宋体" w:hAnsi="宋体" w:cs="宋体"/>
          <w:b/>
          <w:color w:val="auto"/>
          <w:szCs w:val="21"/>
          <w:highlight w:val="none"/>
          <w:u w:val="single"/>
        </w:rPr>
        <w:t>一、工程概况</w:t>
      </w:r>
      <w:bookmarkEnd w:id="884"/>
    </w:p>
    <w:p w14:paraId="02DE4CDF">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color w:val="auto"/>
          <w:szCs w:val="21"/>
          <w:highlight w:val="none"/>
          <w:u w:val="single"/>
        </w:rPr>
      </w:pPr>
      <w:r>
        <w:rPr>
          <w:rFonts w:hint="eastAsia" w:ascii="宋体" w:hAnsi="宋体" w:cs="宋体"/>
          <w:bCs/>
          <w:color w:val="auto"/>
          <w:szCs w:val="21"/>
          <w:highlight w:val="none"/>
          <w:u w:val="single"/>
        </w:rPr>
        <w:t>1. 工程名称</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w:t>
      </w:r>
    </w:p>
    <w:p w14:paraId="4E95C3D8">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none"/>
        </w:rPr>
      </w:pPr>
      <w:r>
        <w:rPr>
          <w:rFonts w:hint="eastAsia" w:ascii="宋体" w:hAnsi="宋体" w:cs="宋体"/>
          <w:bCs/>
          <w:color w:val="auto"/>
          <w:szCs w:val="21"/>
          <w:highlight w:val="none"/>
          <w:u w:val="single"/>
        </w:rPr>
        <w:t>2. 工程地点：</w:t>
      </w:r>
      <w:r>
        <w:rPr>
          <w:rFonts w:hint="eastAsia"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w:t>
      </w:r>
    </w:p>
    <w:p w14:paraId="4DD1A7F6">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single"/>
        </w:rPr>
      </w:pPr>
      <w:r>
        <w:rPr>
          <w:rFonts w:hint="eastAsia" w:ascii="宋体" w:hAnsi="宋体" w:cs="宋体"/>
          <w:bCs/>
          <w:color w:val="auto"/>
          <w:szCs w:val="21"/>
          <w:highlight w:val="none"/>
          <w:u w:val="single"/>
        </w:rPr>
        <w:t xml:space="preserve">3.资金来源：      </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 xml:space="preserve">  </w:t>
      </w:r>
      <w:r>
        <w:rPr>
          <w:rFonts w:hint="eastAsia" w:ascii="宋体" w:hAnsi="宋体" w:cs="宋体"/>
          <w:bCs/>
          <w:color w:val="auto"/>
          <w:szCs w:val="21"/>
          <w:highlight w:val="none"/>
          <w:u w:val="single"/>
        </w:rPr>
        <w:t>。</w:t>
      </w:r>
    </w:p>
    <w:p w14:paraId="1B83B9F4">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single"/>
        </w:rPr>
      </w:pPr>
      <w:r>
        <w:rPr>
          <w:rFonts w:hint="eastAsia" w:ascii="宋体" w:hAnsi="宋体" w:cs="宋体"/>
          <w:bCs/>
          <w:color w:val="auto"/>
          <w:szCs w:val="21"/>
          <w:highlight w:val="none"/>
          <w:u w:val="single"/>
          <w:lang w:val="en-US" w:eastAsia="zh-CN"/>
        </w:rPr>
        <w:t>4</w:t>
      </w:r>
      <w:r>
        <w:rPr>
          <w:rFonts w:hint="eastAsia" w:ascii="宋体" w:hAnsi="宋体" w:cs="宋体"/>
          <w:bCs/>
          <w:color w:val="auto"/>
          <w:szCs w:val="21"/>
          <w:highlight w:val="none"/>
          <w:u w:val="single"/>
        </w:rPr>
        <w:t>. 工程内容：</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w:t>
      </w:r>
    </w:p>
    <w:p w14:paraId="2A0FF2B7">
      <w:pPr>
        <w:keepNext w:val="0"/>
        <w:keepLines w:val="0"/>
        <w:pageBreakBefore w:val="0"/>
        <w:widowControl w:val="0"/>
        <w:kinsoku/>
        <w:wordWrap/>
        <w:overflowPunct/>
        <w:topLinePunct w:val="0"/>
        <w:bidi w:val="0"/>
        <w:snapToGrid/>
        <w:spacing w:line="480" w:lineRule="exact"/>
        <w:ind w:firstLine="411" w:firstLineChars="196"/>
        <w:textAlignment w:val="auto"/>
        <w:rPr>
          <w:rFonts w:hint="default" w:ascii="宋体" w:hAnsi="宋体" w:cs="宋体"/>
          <w:color w:val="auto"/>
          <w:szCs w:val="21"/>
          <w:highlight w:val="none"/>
          <w:u w:val="single"/>
          <w:lang w:val="en-US"/>
        </w:rPr>
      </w:pPr>
      <w:r>
        <w:rPr>
          <w:rFonts w:hint="eastAsia" w:ascii="宋体" w:hAnsi="宋体" w:cs="宋体"/>
          <w:bCs/>
          <w:color w:val="auto"/>
          <w:szCs w:val="21"/>
          <w:highlight w:val="none"/>
          <w:u w:val="single"/>
          <w:lang w:val="en-US" w:eastAsia="zh-CN"/>
        </w:rPr>
        <w:t>5</w:t>
      </w:r>
      <w:r>
        <w:rPr>
          <w:rFonts w:hint="eastAsia" w:ascii="宋体" w:hAnsi="宋体" w:cs="宋体"/>
          <w:bCs/>
          <w:color w:val="auto"/>
          <w:szCs w:val="21"/>
          <w:highlight w:val="none"/>
          <w:u w:val="single"/>
        </w:rPr>
        <w:t>工程承包范围：</w:t>
      </w:r>
      <w:r>
        <w:rPr>
          <w:rFonts w:hint="eastAsia" w:ascii="宋体" w:hAnsi="宋体" w:cs="宋体"/>
          <w:b/>
          <w:bCs/>
          <w:color w:val="auto"/>
          <w:szCs w:val="21"/>
          <w:highlight w:val="none"/>
          <w:u w:val="single"/>
        </w:rPr>
        <w:t>施工图纸和工程量清单载明的施工内容及施工过程中的变更调整内容（如施工图纸和工程量清单不一致，由招标单位负责解释）</w:t>
      </w:r>
      <w:r>
        <w:rPr>
          <w:rFonts w:hint="eastAsia" w:ascii="宋体" w:hAnsi="宋体" w:eastAsia="宋体" w:cs="宋体"/>
          <w:color w:val="auto"/>
          <w:kern w:val="2"/>
          <w:sz w:val="21"/>
          <w:szCs w:val="21"/>
          <w:highlight w:val="none"/>
          <w:u w:val="single"/>
          <w:lang w:val="en-US" w:eastAsia="zh-CN" w:bidi="ar-SA"/>
        </w:rPr>
        <w:t>。</w:t>
      </w:r>
      <w:r>
        <w:rPr>
          <w:rFonts w:hint="eastAsia" w:ascii="宋体" w:hAnsi="宋体" w:cs="宋体"/>
          <w:color w:val="auto"/>
          <w:kern w:val="2"/>
          <w:sz w:val="21"/>
          <w:szCs w:val="21"/>
          <w:highlight w:val="none"/>
          <w:u w:val="single"/>
          <w:lang w:val="en-US" w:eastAsia="zh-CN" w:bidi="ar-SA"/>
        </w:rPr>
        <w:t xml:space="preserve"> </w:t>
      </w:r>
    </w:p>
    <w:p w14:paraId="6E9DF6B5">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u w:val="single"/>
        </w:rPr>
      </w:pPr>
      <w:bookmarkStart w:id="885" w:name="_Toc351203482"/>
      <w:r>
        <w:rPr>
          <w:rFonts w:hint="eastAsia" w:ascii="宋体" w:hAnsi="宋体" w:cs="宋体"/>
          <w:b/>
          <w:color w:val="auto"/>
          <w:szCs w:val="21"/>
          <w:highlight w:val="none"/>
          <w:u w:val="single"/>
        </w:rPr>
        <w:t>二、合同工期</w:t>
      </w:r>
      <w:bookmarkEnd w:id="885"/>
    </w:p>
    <w:p w14:paraId="26E0BEEF">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计划开工日期：          年      月      日。</w:t>
      </w:r>
    </w:p>
    <w:p w14:paraId="58F8182C">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计划竣工日期：          年      月      日。</w:t>
      </w:r>
    </w:p>
    <w:p w14:paraId="34CD3CB4">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工期总日历天数：       天。工期总日历天数与根据前述计划开竣工日期计算的工期天数不一致的，以工期总日历天数为准。</w:t>
      </w:r>
    </w:p>
    <w:p w14:paraId="083EA2B8">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u w:val="single"/>
        </w:rPr>
      </w:pPr>
      <w:bookmarkStart w:id="886" w:name="_Toc351203483"/>
      <w:r>
        <w:rPr>
          <w:rFonts w:hint="eastAsia" w:ascii="宋体" w:hAnsi="宋体" w:cs="宋体"/>
          <w:b/>
          <w:color w:val="auto"/>
          <w:szCs w:val="21"/>
          <w:highlight w:val="none"/>
          <w:u w:val="single"/>
        </w:rPr>
        <w:t>三、质量标准</w:t>
      </w:r>
      <w:bookmarkEnd w:id="886"/>
    </w:p>
    <w:p w14:paraId="45E12E98">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工程质量必须达到国家工程施工质量验收 合格 标准。</w:t>
      </w:r>
    </w:p>
    <w:p w14:paraId="2A114FFA">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u w:val="single"/>
        </w:rPr>
      </w:pPr>
      <w:bookmarkStart w:id="887" w:name="_Toc351203484"/>
      <w:r>
        <w:rPr>
          <w:rFonts w:hint="eastAsia" w:ascii="宋体" w:hAnsi="宋体" w:cs="宋体"/>
          <w:b/>
          <w:color w:val="auto"/>
          <w:szCs w:val="21"/>
          <w:highlight w:val="none"/>
          <w:u w:val="single"/>
        </w:rPr>
        <w:t>四、签约合同价与合同价格形式</w:t>
      </w:r>
      <w:bookmarkEnd w:id="887"/>
    </w:p>
    <w:p w14:paraId="7B2EE43D">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1. 签约合同价为：</w:t>
      </w:r>
    </w:p>
    <w:p w14:paraId="4CD8F227">
      <w:pPr>
        <w:keepNext w:val="0"/>
        <w:keepLines w:val="0"/>
        <w:pageBreakBefore w:val="0"/>
        <w:widowControl w:val="0"/>
        <w:kinsoku/>
        <w:wordWrap/>
        <w:overflowPunct/>
        <w:topLinePunct w:val="0"/>
        <w:bidi w:val="0"/>
        <w:snapToGrid/>
        <w:spacing w:line="480" w:lineRule="exact"/>
        <w:ind w:firstLine="525" w:firstLineChars="250"/>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single"/>
        </w:rPr>
        <w:t>人民币（大写）                 (¥            元)；</w:t>
      </w:r>
    </w:p>
    <w:p w14:paraId="0AA361FD">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其中：</w:t>
      </w:r>
    </w:p>
    <w:p w14:paraId="64B592A9">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（1）安全文明施工费：</w:t>
      </w:r>
    </w:p>
    <w:p w14:paraId="57EB10E7">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人民币（大写）               (¥          元)；</w:t>
      </w:r>
    </w:p>
    <w:p w14:paraId="5E53BCD7">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（2）材料和工程设备暂估价金额：</w:t>
      </w:r>
    </w:p>
    <w:p w14:paraId="427302AA">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人民币（大写）               (¥          元)；</w:t>
      </w:r>
    </w:p>
    <w:p w14:paraId="6F4ED233">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（3）专业工程暂估价金额：</w:t>
      </w:r>
    </w:p>
    <w:p w14:paraId="6F0F86A5">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人民币（大写）               (¥          元)；</w:t>
      </w:r>
    </w:p>
    <w:p w14:paraId="1B3F0707">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（4）暂列金额：</w:t>
      </w:r>
    </w:p>
    <w:p w14:paraId="3A6D90AA">
      <w:pPr>
        <w:keepNext w:val="0"/>
        <w:keepLines w:val="0"/>
        <w:widowControl w:val="0"/>
        <w:suppressLineNumbers w:val="0"/>
        <w:spacing w:before="0" w:beforeAutospacing="0" w:after="0" w:afterAutospacing="0" w:line="440" w:lineRule="exact"/>
        <w:ind w:left="0" w:right="0" w:firstLine="420" w:firstLineChars="200"/>
        <w:jc w:val="both"/>
        <w:rPr>
          <w:color w:val="auto"/>
          <w:highlight w:val="none"/>
        </w:rPr>
      </w:pPr>
      <w:r>
        <w:rPr>
          <w:rFonts w:hint="eastAsia" w:ascii="宋体" w:hAnsi="宋体" w:eastAsia="宋体" w:cs="宋体"/>
          <w:color w:val="auto"/>
          <w:kern w:val="2"/>
          <w:sz w:val="21"/>
          <w:szCs w:val="21"/>
          <w:highlight w:val="none"/>
          <w:u w:val="single"/>
          <w:lang w:val="en-US" w:eastAsia="zh-CN" w:bidi="ar"/>
        </w:rPr>
        <w:t>人民币（大写）               (¥          元)</w:t>
      </w:r>
      <w:r>
        <w:rPr>
          <w:rFonts w:hint="eastAsia" w:ascii="宋体" w:hAnsi="宋体" w:eastAsia="宋体" w:cs="宋体"/>
          <w:color w:val="auto"/>
          <w:kern w:val="2"/>
          <w:sz w:val="21"/>
          <w:szCs w:val="21"/>
          <w:highlight w:val="none"/>
          <w:lang w:val="en-US" w:eastAsia="zh-CN" w:bidi="ar"/>
        </w:rPr>
        <w:t>。</w:t>
      </w:r>
    </w:p>
    <w:p w14:paraId="1BE22C13">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合同价格形式：</w:t>
      </w:r>
      <w:r>
        <w:rPr>
          <w:rFonts w:hint="eastAsia" w:ascii="宋体" w:hAnsi="宋体" w:cs="宋体"/>
          <w:color w:val="auto"/>
          <w:szCs w:val="21"/>
          <w:highlight w:val="none"/>
          <w:u w:val="single"/>
          <w:lang w:val="en-US" w:eastAsia="zh-CN"/>
        </w:rPr>
        <w:t xml:space="preserve">  单价合同   </w:t>
      </w:r>
      <w:r>
        <w:rPr>
          <w:rFonts w:hint="eastAsia" w:ascii="宋体" w:hAnsi="宋体" w:cs="宋体"/>
          <w:color w:val="auto"/>
          <w:szCs w:val="21"/>
          <w:highlight w:val="none"/>
        </w:rPr>
        <w:t>。</w:t>
      </w:r>
    </w:p>
    <w:p w14:paraId="3E9E01D4">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88" w:name="_Toc351203485"/>
      <w:r>
        <w:rPr>
          <w:rFonts w:hint="eastAsia" w:ascii="宋体" w:hAnsi="宋体" w:cs="宋体"/>
          <w:b/>
          <w:color w:val="auto"/>
          <w:szCs w:val="21"/>
          <w:highlight w:val="none"/>
        </w:rPr>
        <w:t>五、</w:t>
      </w:r>
      <w:bookmarkEnd w:id="888"/>
      <w:r>
        <w:rPr>
          <w:rFonts w:hint="eastAsia" w:ascii="宋体" w:hAnsi="宋体" w:cs="宋体"/>
          <w:b/>
          <w:color w:val="auto"/>
          <w:szCs w:val="21"/>
          <w:highlight w:val="none"/>
        </w:rPr>
        <w:t>项目经理</w:t>
      </w:r>
    </w:p>
    <w:p w14:paraId="1BDD7B68">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承包人项目经理：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02AAC1F">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89" w:name="_Toc351203486"/>
      <w:r>
        <w:rPr>
          <w:rFonts w:hint="eastAsia" w:ascii="宋体" w:hAnsi="宋体" w:cs="宋体"/>
          <w:b/>
          <w:color w:val="auto"/>
          <w:szCs w:val="21"/>
          <w:highlight w:val="none"/>
        </w:rPr>
        <w:t>六、合同文件构成</w:t>
      </w:r>
      <w:bookmarkEnd w:id="889"/>
    </w:p>
    <w:p w14:paraId="7E5EA3A8">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本协议书与下列文件一起构成合同文件：</w:t>
      </w:r>
    </w:p>
    <w:p w14:paraId="5DBCA350">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（1）中标通知书（如果有）；</w:t>
      </w:r>
    </w:p>
    <w:p w14:paraId="18BDAE10">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（2）投标函及其附录（如果有）； </w:t>
      </w:r>
    </w:p>
    <w:p w14:paraId="477315CB">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（3）专用合同条款及其附件；</w:t>
      </w:r>
    </w:p>
    <w:p w14:paraId="6882ECC2">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（4）通用合同条款；</w:t>
      </w:r>
    </w:p>
    <w:p w14:paraId="2A3BE681">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（5）技术标准和要求；</w:t>
      </w:r>
    </w:p>
    <w:p w14:paraId="192C4CFA">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（6）图纸；</w:t>
      </w:r>
    </w:p>
    <w:p w14:paraId="0CEBAA09">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（7）已标价工程量清单或预算书；</w:t>
      </w:r>
    </w:p>
    <w:p w14:paraId="0E43F415">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（8）其他合同文件。</w:t>
      </w:r>
    </w:p>
    <w:p w14:paraId="6FEF5CF3">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在合同订立及履行过程中形成的与合同有关的文件均构成合同文件组成部分。若招标文件与合同不符时，以招标文件为准，若合同专用条款与通用条款不符时，以专用条款为准，补充条款优先于专用条款。</w:t>
      </w:r>
    </w:p>
    <w:p w14:paraId="5110DFE9">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42F900F4">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0" w:name="_Toc351203487"/>
      <w:r>
        <w:rPr>
          <w:rFonts w:hint="eastAsia" w:ascii="宋体" w:hAnsi="宋体" w:cs="宋体"/>
          <w:b/>
          <w:color w:val="auto"/>
          <w:szCs w:val="21"/>
          <w:highlight w:val="none"/>
        </w:rPr>
        <w:t>七、承诺</w:t>
      </w:r>
      <w:bookmarkEnd w:id="890"/>
    </w:p>
    <w:p w14:paraId="53E8DEA5">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 发包人承诺按照法律规定履行项目审批手续、筹集工程建设资金并按照合同约定的期限和方式支付合同价款。</w:t>
      </w:r>
    </w:p>
    <w:p w14:paraId="3BBA3687">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 承包人承诺按照法律规定及合同约定组织完成工程施工，确保工程质量和安全，不进行转包及违法分包，并在缺陷责任期及保修期内承担相应的工程维修责任。</w:t>
      </w:r>
    </w:p>
    <w:p w14:paraId="21B826FE">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 发包人和承包人通过招投标形式签订合同的，双方理解并承诺不再就同一工程另行签订与合同实质性内容相背离的协议。</w:t>
      </w:r>
    </w:p>
    <w:p w14:paraId="341656AE">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1" w:name="_Toc351203488"/>
      <w:r>
        <w:rPr>
          <w:rFonts w:hint="eastAsia" w:ascii="宋体" w:hAnsi="宋体" w:cs="宋体"/>
          <w:b/>
          <w:color w:val="auto"/>
          <w:szCs w:val="21"/>
          <w:highlight w:val="none"/>
        </w:rPr>
        <w:t>八、词语含义</w:t>
      </w:r>
      <w:bookmarkEnd w:id="891"/>
    </w:p>
    <w:p w14:paraId="4311365F">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本协议书中词语含义与第二部分通用合同条款中赋予的含义相同。</w:t>
      </w:r>
    </w:p>
    <w:p w14:paraId="0B72DD49">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2" w:name="_Toc351203489"/>
      <w:r>
        <w:rPr>
          <w:rFonts w:hint="eastAsia" w:ascii="宋体" w:hAnsi="宋体" w:cs="宋体"/>
          <w:b/>
          <w:color w:val="auto"/>
          <w:szCs w:val="21"/>
          <w:highlight w:val="none"/>
        </w:rPr>
        <w:t>九、签订时间</w:t>
      </w:r>
      <w:bookmarkEnd w:id="892"/>
    </w:p>
    <w:p w14:paraId="21FD032F">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14:paraId="2936B910">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3" w:name="_Toc351203490"/>
      <w:r>
        <w:rPr>
          <w:rFonts w:hint="eastAsia" w:ascii="宋体" w:hAnsi="宋体" w:cs="宋体"/>
          <w:b/>
          <w:color w:val="auto"/>
          <w:szCs w:val="21"/>
          <w:highlight w:val="none"/>
        </w:rPr>
        <w:t>十、签订地点</w:t>
      </w:r>
      <w:bookmarkEnd w:id="893"/>
    </w:p>
    <w:p w14:paraId="7F41BA6E">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7F1B06F7">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4" w:name="_Toc351203491"/>
      <w:r>
        <w:rPr>
          <w:rFonts w:hint="eastAsia" w:ascii="宋体" w:hAnsi="宋体" w:cs="宋体"/>
          <w:b/>
          <w:color w:val="auto"/>
          <w:szCs w:val="21"/>
          <w:highlight w:val="none"/>
        </w:rPr>
        <w:t>十一、补充协议</w:t>
      </w:r>
      <w:bookmarkEnd w:id="894"/>
    </w:p>
    <w:p w14:paraId="4B23DB27">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100A9613">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5" w:name="_Toc351203492"/>
      <w:r>
        <w:rPr>
          <w:rFonts w:hint="eastAsia" w:ascii="宋体" w:hAnsi="宋体" w:cs="宋体"/>
          <w:b/>
          <w:color w:val="auto"/>
          <w:szCs w:val="21"/>
          <w:highlight w:val="none"/>
        </w:rPr>
        <w:t>十二、合同生效</w:t>
      </w:r>
      <w:bookmarkEnd w:id="895"/>
    </w:p>
    <w:p w14:paraId="579B2E11">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 xml:space="preserve">    双方签字盖章后   </w:t>
      </w:r>
      <w:r>
        <w:rPr>
          <w:rFonts w:hint="eastAsia" w:ascii="宋体" w:hAnsi="宋体" w:cs="宋体"/>
          <w:bCs/>
          <w:color w:val="auto"/>
          <w:szCs w:val="21"/>
          <w:highlight w:val="none"/>
        </w:rPr>
        <w:t>生效。</w:t>
      </w:r>
    </w:p>
    <w:p w14:paraId="02DBB085">
      <w:pPr>
        <w:keepNext w:val="0"/>
        <w:keepLines w:val="0"/>
        <w:pageBreakBefore w:val="0"/>
        <w:widowControl w:val="0"/>
        <w:kinsoku/>
        <w:wordWrap/>
        <w:overflowPunct/>
        <w:topLinePunct w:val="0"/>
        <w:bidi w:val="0"/>
        <w:snapToGrid/>
        <w:spacing w:line="480" w:lineRule="exact"/>
        <w:ind w:firstLine="422" w:firstLineChars="200"/>
        <w:textAlignment w:val="auto"/>
        <w:rPr>
          <w:rFonts w:hint="eastAsia" w:ascii="宋体" w:hAnsi="宋体" w:cs="宋体"/>
          <w:b/>
          <w:color w:val="auto"/>
          <w:szCs w:val="21"/>
          <w:highlight w:val="none"/>
        </w:rPr>
      </w:pPr>
      <w:bookmarkStart w:id="896" w:name="_Toc351203493"/>
      <w:r>
        <w:rPr>
          <w:rFonts w:hint="eastAsia" w:ascii="宋体" w:hAnsi="宋体" w:cs="宋体"/>
          <w:b/>
          <w:color w:val="auto"/>
          <w:szCs w:val="21"/>
          <w:highlight w:val="none"/>
        </w:rPr>
        <w:t>十三、合同份数</w:t>
      </w:r>
      <w:bookmarkEnd w:id="896"/>
    </w:p>
    <w:p w14:paraId="25CE4980">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w:t>
      </w:r>
    </w:p>
    <w:p w14:paraId="5A2456FA">
      <w:pPr>
        <w:spacing w:line="360" w:lineRule="auto"/>
        <w:rPr>
          <w:rFonts w:hint="eastAsia" w:ascii="宋体" w:hAnsi="宋体" w:cs="宋体"/>
          <w:bCs/>
          <w:color w:val="auto"/>
          <w:szCs w:val="21"/>
          <w:highlight w:val="none"/>
        </w:rPr>
      </w:pPr>
    </w:p>
    <w:p w14:paraId="5A4D160A">
      <w:pPr>
        <w:spacing w:line="360" w:lineRule="auto"/>
        <w:ind w:firstLine="420" w:firstLineChars="200"/>
        <w:rPr>
          <w:rFonts w:hint="eastAsia" w:ascii="宋体" w:hAnsi="宋体" w:cs="宋体"/>
          <w:color w:val="auto"/>
          <w:szCs w:val="21"/>
          <w:highlight w:val="none"/>
        </w:rPr>
      </w:pPr>
    </w:p>
    <w:p w14:paraId="126CCAB6">
      <w:pPr>
        <w:spacing w:line="360" w:lineRule="auto"/>
        <w:ind w:firstLine="420" w:firstLineChars="200"/>
        <w:rPr>
          <w:rFonts w:hint="eastAsia" w:ascii="宋体" w:hAnsi="宋体" w:cs="宋体"/>
          <w:color w:val="auto"/>
          <w:szCs w:val="21"/>
          <w:highlight w:val="none"/>
        </w:rPr>
      </w:pPr>
    </w:p>
    <w:p w14:paraId="0162D5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(公章)          承包人：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(公章)</w:t>
      </w:r>
    </w:p>
    <w:p w14:paraId="107FA225">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p>
    <w:p w14:paraId="0F4CC7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法定代表人或其委托代理人：</w:t>
      </w:r>
    </w:p>
    <w:p w14:paraId="04BBAF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（签字）</w:t>
      </w:r>
      <w:r>
        <w:rPr>
          <w:rFonts w:hint="eastAsia" w:ascii="宋体" w:hAnsi="宋体" w:cs="宋体"/>
          <w:color w:val="auto"/>
          <w:szCs w:val="21"/>
          <w:highlight w:val="none"/>
          <w:u w:val="single"/>
        </w:rPr>
        <w:t xml:space="preserve">                  </w:t>
      </w:r>
    </w:p>
    <w:p w14:paraId="51F63AC0">
      <w:pPr>
        <w:spacing w:line="360" w:lineRule="auto"/>
        <w:rPr>
          <w:rFonts w:hint="eastAsia" w:ascii="宋体" w:hAnsi="宋体" w:cs="宋体"/>
          <w:color w:val="auto"/>
          <w:szCs w:val="21"/>
          <w:highlight w:val="none"/>
          <w:u w:val="single"/>
        </w:rPr>
      </w:pPr>
    </w:p>
    <w:p w14:paraId="4F5EBEA0">
      <w:pPr>
        <w:tabs>
          <w:tab w:val="left" w:pos="441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组织机构代码：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组织机构代码：</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 </w:t>
      </w:r>
    </w:p>
    <w:p w14:paraId="34DD1D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p>
    <w:p w14:paraId="36DB66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171461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法定代表人：</w:t>
      </w:r>
      <w:r>
        <w:rPr>
          <w:rFonts w:hint="eastAsia" w:ascii="宋体" w:hAnsi="宋体" w:cs="宋体"/>
          <w:color w:val="auto"/>
          <w:szCs w:val="21"/>
          <w:highlight w:val="none"/>
          <w:u w:val="single"/>
        </w:rPr>
        <w:t xml:space="preserve">               </w:t>
      </w:r>
    </w:p>
    <w:p w14:paraId="4CCE89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w:t>
      </w:r>
      <w:r>
        <w:rPr>
          <w:rFonts w:hint="eastAsia" w:ascii="宋体" w:hAnsi="宋体" w:cs="宋体"/>
          <w:color w:val="auto"/>
          <w:szCs w:val="21"/>
          <w:highlight w:val="none"/>
          <w:u w:val="single"/>
        </w:rPr>
        <w:t xml:space="preserve">                 </w:t>
      </w:r>
    </w:p>
    <w:p w14:paraId="22DE32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4ED617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399944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电子信箱：</w:t>
      </w:r>
      <w:r>
        <w:rPr>
          <w:rFonts w:hint="eastAsia" w:ascii="宋体" w:hAnsi="宋体" w:cs="宋体"/>
          <w:color w:val="auto"/>
          <w:szCs w:val="21"/>
          <w:highlight w:val="none"/>
          <w:u w:val="single"/>
        </w:rPr>
        <w:t xml:space="preserve">                   </w:t>
      </w:r>
    </w:p>
    <w:p w14:paraId="1F314E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559AFEE6">
      <w:pPr>
        <w:ind w:firstLine="420" w:firstLineChars="200"/>
        <w:rPr>
          <w:rFonts w:hint="eastAsia" w:ascii="宋体" w:hAnsi="宋体" w:cs="宋体"/>
          <w:color w:val="auto"/>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20220D54">
      <w:pPr>
        <w:keepNext/>
        <w:keepLines/>
        <w:spacing w:line="360" w:lineRule="auto"/>
        <w:jc w:val="center"/>
        <w:outlineLvl w:val="1"/>
        <w:rPr>
          <w:rFonts w:hint="eastAsia" w:ascii="宋体" w:hAnsi="宋体" w:cs="宋体"/>
          <w:snapToGrid w:val="0"/>
          <w:color w:val="auto"/>
          <w:kern w:val="0"/>
          <w:sz w:val="28"/>
          <w:highlight w:val="none"/>
        </w:rPr>
      </w:pPr>
      <w:r>
        <w:rPr>
          <w:rFonts w:hint="eastAsia" w:ascii="宋体" w:hAnsi="宋体" w:eastAsia="宋体" w:cs="宋体"/>
          <w:b/>
          <w:bCs/>
          <w:color w:val="auto"/>
          <w:sz w:val="32"/>
          <w:szCs w:val="32"/>
          <w:highlight w:val="none"/>
        </w:rPr>
        <w:br w:type="page"/>
      </w:r>
      <w:bookmarkEnd w:id="882"/>
      <w:bookmarkEnd w:id="883"/>
      <w:bookmarkStart w:id="897" w:name="_Toc15494"/>
      <w:bookmarkStart w:id="898" w:name="_Toc95223460"/>
      <w:bookmarkStart w:id="899" w:name="_Toc4139"/>
      <w:r>
        <w:rPr>
          <w:rFonts w:hint="eastAsia" w:ascii="黑体" w:hAnsi="Times New Roman" w:eastAsia="黑体" w:cs="黑体"/>
          <w:b/>
          <w:bCs/>
          <w:color w:val="auto"/>
          <w:kern w:val="0"/>
          <w:sz w:val="32"/>
          <w:szCs w:val="32"/>
          <w:highlight w:val="none"/>
          <w:lang w:val="en-US" w:eastAsia="zh-CN" w:bidi="ar-SA"/>
        </w:rPr>
        <w:t>第二节  通用合同条款</w:t>
      </w:r>
      <w:bookmarkEnd w:id="897"/>
      <w:bookmarkEnd w:id="898"/>
    </w:p>
    <w:p w14:paraId="19336BDD">
      <w:pPr>
        <w:spacing w:line="44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使用建设部、国家工商行政管理局印发的《建设工程施工合同（GF-2017-0201示范文本）》第二部分通用条款。上述资料由投标人自行准备。</w:t>
      </w:r>
    </w:p>
    <w:p w14:paraId="1F32A6E6">
      <w:pPr>
        <w:pStyle w:val="8"/>
        <w:jc w:val="center"/>
        <w:rPr>
          <w:rFonts w:hint="eastAsia" w:ascii="黑体" w:eastAsia="黑体" w:cs="黑体"/>
          <w:color w:val="auto"/>
          <w:highlight w:val="none"/>
        </w:rPr>
      </w:pPr>
      <w:bookmarkStart w:id="900" w:name="_Toc14492"/>
      <w:r>
        <w:rPr>
          <w:rFonts w:hint="eastAsia" w:ascii="黑体" w:eastAsia="黑体" w:cs="黑体"/>
          <w:color w:val="auto"/>
          <w:highlight w:val="none"/>
        </w:rPr>
        <w:t>第三节 专用合同条款</w:t>
      </w:r>
    </w:p>
    <w:bookmarkEnd w:id="865"/>
    <w:bookmarkEnd w:id="866"/>
    <w:bookmarkEnd w:id="867"/>
    <w:bookmarkEnd w:id="868"/>
    <w:bookmarkEnd w:id="899"/>
    <w:bookmarkEnd w:id="900"/>
    <w:p w14:paraId="4D49337D">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bookmarkStart w:id="901" w:name="_Toc95223487"/>
      <w:bookmarkStart w:id="902" w:name="_Toc179632806"/>
      <w:bookmarkStart w:id="903" w:name="_Toc144974855"/>
      <w:bookmarkStart w:id="904" w:name="_Toc152045786"/>
      <w:bookmarkStart w:id="905" w:name="_Toc247085872"/>
      <w:bookmarkStart w:id="906" w:name="_Toc506107340"/>
      <w:bookmarkStart w:id="907" w:name="_Toc246996354"/>
      <w:bookmarkStart w:id="908" w:name="_Toc152042575"/>
      <w:bookmarkStart w:id="909" w:name="_Toc35424970"/>
      <w:bookmarkStart w:id="910" w:name="_Toc35425136"/>
      <w:bookmarkStart w:id="911" w:name="_Toc78803398"/>
      <w:bookmarkStart w:id="912" w:name="_Toc15058934"/>
      <w:bookmarkStart w:id="913" w:name="_Toc246997097"/>
      <w:bookmarkStart w:id="914" w:name="_Toc324404888"/>
      <w:r>
        <w:rPr>
          <w:rFonts w:hint="eastAsia" w:ascii="宋体" w:hAnsi="宋体" w:eastAsia="宋体" w:cs="宋体"/>
          <w:b w:val="0"/>
          <w:bCs/>
          <w:color w:val="auto"/>
          <w:kern w:val="2"/>
          <w:sz w:val="21"/>
          <w:szCs w:val="21"/>
          <w:highlight w:val="none"/>
        </w:rPr>
        <w:t>1. 一般约定</w:t>
      </w:r>
    </w:p>
    <w:p w14:paraId="37D2896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 词语定义</w:t>
      </w:r>
    </w:p>
    <w:p w14:paraId="4303736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1.1.1合同</w:t>
      </w:r>
    </w:p>
    <w:p w14:paraId="26AECB5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1.1.1.10其他合同文件包括：</w:t>
      </w:r>
      <w:r>
        <w:rPr>
          <w:rFonts w:hint="eastAsia" w:ascii="宋体" w:hAnsi="宋体" w:eastAsia="宋体" w:cs="宋体"/>
          <w:color w:val="auto"/>
          <w:kern w:val="0"/>
          <w:sz w:val="21"/>
          <w:szCs w:val="21"/>
          <w:highlight w:val="none"/>
          <w:u w:val="single"/>
          <w:lang w:val="en-US" w:eastAsia="zh-CN" w:bidi="ar"/>
        </w:rPr>
        <w:t>本项目招标文件、在合同订立及履行过程中形成的与合同有关的文件均构成合同文件组成部分，若上述文件有不明确或不一致之处，以招标文件为准。</w:t>
      </w:r>
    </w:p>
    <w:p w14:paraId="65A9D95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1.1.2 合同当事人及其他相关方</w:t>
      </w:r>
    </w:p>
    <w:p w14:paraId="2EA4990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1.1.2.4监理人：</w:t>
      </w:r>
    </w:p>
    <w:p w14:paraId="489EB71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名    称：</w:t>
      </w:r>
      <w:r>
        <w:rPr>
          <w:rFonts w:hint="eastAsia" w:ascii="宋体" w:hAnsi="宋体" w:eastAsia="宋体" w:cs="宋体"/>
          <w:color w:val="auto"/>
          <w:kern w:val="2"/>
          <w:sz w:val="21"/>
          <w:szCs w:val="21"/>
          <w:highlight w:val="none"/>
          <w:u w:val="single"/>
          <w:lang w:val="en-US" w:eastAsia="zh-CN" w:bidi="ar"/>
        </w:rPr>
        <w:t xml:space="preserve">   详见监理合同            </w:t>
      </w:r>
      <w:r>
        <w:rPr>
          <w:rFonts w:hint="eastAsia" w:ascii="宋体" w:hAnsi="宋体" w:eastAsia="宋体" w:cs="宋体"/>
          <w:color w:val="auto"/>
          <w:kern w:val="2"/>
          <w:sz w:val="21"/>
          <w:szCs w:val="21"/>
          <w:highlight w:val="none"/>
          <w:lang w:val="en-US" w:eastAsia="zh-CN" w:bidi="ar"/>
        </w:rPr>
        <w:t>；</w:t>
      </w:r>
    </w:p>
    <w:p w14:paraId="481D86F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资质类别和等级：</w:t>
      </w:r>
      <w:r>
        <w:rPr>
          <w:rFonts w:hint="eastAsia" w:ascii="宋体" w:hAnsi="宋体" w:eastAsia="宋体" w:cs="宋体"/>
          <w:color w:val="auto"/>
          <w:kern w:val="2"/>
          <w:sz w:val="21"/>
          <w:szCs w:val="21"/>
          <w:highlight w:val="none"/>
          <w:u w:val="single"/>
          <w:lang w:val="en-US" w:eastAsia="zh-CN" w:bidi="ar"/>
        </w:rPr>
        <w:t>详见监理合同   </w:t>
      </w:r>
      <w:r>
        <w:rPr>
          <w:rFonts w:hint="eastAsia" w:ascii="宋体" w:hAnsi="宋体" w:eastAsia="宋体" w:cs="宋体"/>
          <w:color w:val="auto"/>
          <w:kern w:val="2"/>
          <w:sz w:val="21"/>
          <w:szCs w:val="21"/>
          <w:highlight w:val="none"/>
          <w:lang w:val="en-US" w:eastAsia="zh-CN" w:bidi="ar"/>
        </w:rPr>
        <w:t>；</w:t>
      </w:r>
    </w:p>
    <w:p w14:paraId="439FC64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详见监理合同             </w:t>
      </w:r>
      <w:r>
        <w:rPr>
          <w:rFonts w:hint="eastAsia" w:ascii="宋体" w:hAnsi="宋体" w:eastAsia="宋体" w:cs="宋体"/>
          <w:color w:val="auto"/>
          <w:kern w:val="2"/>
          <w:sz w:val="21"/>
          <w:szCs w:val="21"/>
          <w:highlight w:val="none"/>
          <w:lang w:val="en-US" w:eastAsia="zh-CN" w:bidi="ar"/>
        </w:rPr>
        <w:t>；</w:t>
      </w:r>
    </w:p>
    <w:p w14:paraId="6DFD7D4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详见监理合同           </w:t>
      </w:r>
      <w:r>
        <w:rPr>
          <w:rFonts w:hint="eastAsia" w:ascii="宋体" w:hAnsi="宋体" w:eastAsia="宋体" w:cs="宋体"/>
          <w:color w:val="auto"/>
          <w:kern w:val="2"/>
          <w:sz w:val="21"/>
          <w:szCs w:val="21"/>
          <w:highlight w:val="none"/>
          <w:lang w:val="en-US" w:eastAsia="zh-CN" w:bidi="ar"/>
        </w:rPr>
        <w:t>；</w:t>
      </w:r>
    </w:p>
    <w:p w14:paraId="6ED2E11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详见监理合同            </w:t>
      </w:r>
      <w:r>
        <w:rPr>
          <w:rFonts w:hint="eastAsia" w:ascii="宋体" w:hAnsi="宋体" w:eastAsia="宋体" w:cs="宋体"/>
          <w:color w:val="auto"/>
          <w:kern w:val="2"/>
          <w:sz w:val="21"/>
          <w:szCs w:val="21"/>
          <w:highlight w:val="none"/>
          <w:lang w:val="en-US" w:eastAsia="zh-CN" w:bidi="ar"/>
        </w:rPr>
        <w:t>。</w:t>
      </w:r>
    </w:p>
    <w:p w14:paraId="0B161D9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1.1.2.5 设计人：</w:t>
      </w:r>
    </w:p>
    <w:p w14:paraId="3FF40FC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名    称：</w:t>
      </w:r>
      <w:r>
        <w:rPr>
          <w:rFonts w:hint="eastAsia" w:ascii="宋体" w:hAnsi="宋体" w:eastAsia="宋体" w:cs="宋体"/>
          <w:color w:val="auto"/>
          <w:kern w:val="2"/>
          <w:sz w:val="21"/>
          <w:szCs w:val="21"/>
          <w:highlight w:val="none"/>
          <w:u w:val="single"/>
          <w:lang w:val="en-US" w:eastAsia="zh-CN" w:bidi="ar"/>
        </w:rPr>
        <w:t xml:space="preserve">    详见设计合同            </w:t>
      </w:r>
      <w:r>
        <w:rPr>
          <w:rFonts w:hint="eastAsia" w:ascii="宋体" w:hAnsi="宋体" w:eastAsia="宋体" w:cs="宋体"/>
          <w:color w:val="auto"/>
          <w:kern w:val="2"/>
          <w:sz w:val="21"/>
          <w:szCs w:val="21"/>
          <w:highlight w:val="none"/>
          <w:lang w:val="en-US" w:eastAsia="zh-CN" w:bidi="ar"/>
        </w:rPr>
        <w:t>；</w:t>
      </w:r>
    </w:p>
    <w:p w14:paraId="0B8DF44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资质类别和等级：</w:t>
      </w:r>
      <w:r>
        <w:rPr>
          <w:rFonts w:hint="eastAsia" w:ascii="宋体" w:hAnsi="宋体" w:eastAsia="宋体" w:cs="宋体"/>
          <w:color w:val="auto"/>
          <w:kern w:val="2"/>
          <w:sz w:val="21"/>
          <w:szCs w:val="21"/>
          <w:highlight w:val="none"/>
          <w:u w:val="single"/>
          <w:lang w:val="en-US" w:eastAsia="zh-CN" w:bidi="ar"/>
        </w:rPr>
        <w:t>详见设计合同   </w:t>
      </w:r>
      <w:r>
        <w:rPr>
          <w:rFonts w:hint="eastAsia" w:ascii="宋体" w:hAnsi="宋体" w:eastAsia="宋体" w:cs="宋体"/>
          <w:color w:val="auto"/>
          <w:kern w:val="2"/>
          <w:sz w:val="21"/>
          <w:szCs w:val="21"/>
          <w:highlight w:val="none"/>
          <w:lang w:val="en-US" w:eastAsia="zh-CN" w:bidi="ar"/>
        </w:rPr>
        <w:t>；</w:t>
      </w:r>
    </w:p>
    <w:p w14:paraId="2B2FB48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详见设计合同   </w:t>
      </w:r>
      <w:r>
        <w:rPr>
          <w:rFonts w:hint="eastAsia" w:ascii="宋体" w:hAnsi="宋体" w:eastAsia="宋体" w:cs="宋体"/>
          <w:color w:val="auto"/>
          <w:kern w:val="2"/>
          <w:sz w:val="21"/>
          <w:szCs w:val="21"/>
          <w:highlight w:val="none"/>
          <w:lang w:val="en-US" w:eastAsia="zh-CN" w:bidi="ar"/>
        </w:rPr>
        <w:t>；</w:t>
      </w:r>
    </w:p>
    <w:p w14:paraId="6D6A4CA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 xml:space="preserve">详见设计合同           </w:t>
      </w:r>
      <w:r>
        <w:rPr>
          <w:rFonts w:hint="eastAsia" w:ascii="宋体" w:hAnsi="宋体" w:eastAsia="宋体" w:cs="宋体"/>
          <w:color w:val="auto"/>
          <w:kern w:val="2"/>
          <w:sz w:val="21"/>
          <w:szCs w:val="21"/>
          <w:highlight w:val="none"/>
          <w:lang w:val="en-US" w:eastAsia="zh-CN" w:bidi="ar"/>
        </w:rPr>
        <w:t>；</w:t>
      </w:r>
    </w:p>
    <w:p w14:paraId="3DE0BD7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    详见设计合同         </w:t>
      </w:r>
      <w:r>
        <w:rPr>
          <w:rFonts w:hint="eastAsia" w:ascii="宋体" w:hAnsi="宋体" w:eastAsia="宋体" w:cs="宋体"/>
          <w:color w:val="auto"/>
          <w:kern w:val="2"/>
          <w:sz w:val="21"/>
          <w:szCs w:val="21"/>
          <w:highlight w:val="none"/>
          <w:lang w:val="en-US" w:eastAsia="zh-CN" w:bidi="ar"/>
        </w:rPr>
        <w:t>。</w:t>
      </w:r>
    </w:p>
    <w:p w14:paraId="2587659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1.1.3 工程和设备</w:t>
      </w:r>
    </w:p>
    <w:p w14:paraId="6CFDA56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1.1.3.7 作为施工现场组成部分的其他场所包括：</w:t>
      </w:r>
      <w:r>
        <w:rPr>
          <w:rFonts w:hint="eastAsia" w:ascii="宋体" w:hAnsi="宋体" w:eastAsia="宋体" w:cs="宋体"/>
          <w:color w:val="auto"/>
          <w:kern w:val="2"/>
          <w:sz w:val="21"/>
          <w:szCs w:val="21"/>
          <w:highlight w:val="none"/>
          <w:u w:val="single"/>
          <w:lang w:val="en-US" w:eastAsia="zh-CN" w:bidi="ar"/>
        </w:rPr>
        <w:t xml:space="preserve"> 见施工图纸并现场确定</w:t>
      </w:r>
      <w:r>
        <w:rPr>
          <w:rFonts w:hint="eastAsia" w:ascii="宋体" w:hAnsi="宋体" w:eastAsia="宋体" w:cs="宋体"/>
          <w:color w:val="auto"/>
          <w:kern w:val="2"/>
          <w:sz w:val="21"/>
          <w:szCs w:val="21"/>
          <w:highlight w:val="none"/>
          <w:lang w:val="en-US" w:eastAsia="zh-CN" w:bidi="ar"/>
        </w:rPr>
        <w:t>。</w:t>
      </w:r>
    </w:p>
    <w:p w14:paraId="3F6AB4B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1.1.3.9 永久占地包括：</w:t>
      </w:r>
      <w:r>
        <w:rPr>
          <w:rFonts w:hint="eastAsia" w:ascii="宋体" w:hAnsi="宋体" w:eastAsia="宋体" w:cs="宋体"/>
          <w:color w:val="auto"/>
          <w:kern w:val="2"/>
          <w:sz w:val="21"/>
          <w:szCs w:val="21"/>
          <w:highlight w:val="none"/>
          <w:u w:val="single"/>
          <w:lang w:val="en-US" w:eastAsia="zh-CN" w:bidi="ar"/>
        </w:rPr>
        <w:t xml:space="preserve">   见施工图纸 </w:t>
      </w:r>
      <w:r>
        <w:rPr>
          <w:rFonts w:hint="eastAsia" w:ascii="宋体" w:hAnsi="宋体" w:eastAsia="宋体" w:cs="宋体"/>
          <w:color w:val="auto"/>
          <w:kern w:val="0"/>
          <w:sz w:val="21"/>
          <w:szCs w:val="21"/>
          <w:highlight w:val="none"/>
          <w:lang w:val="en-US" w:eastAsia="zh-CN" w:bidi="ar"/>
        </w:rPr>
        <w:t>。</w:t>
      </w:r>
    </w:p>
    <w:p w14:paraId="27250F8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1.1.3.10 临时占地包括：</w:t>
      </w:r>
      <w:r>
        <w:rPr>
          <w:rFonts w:hint="eastAsia" w:ascii="宋体" w:hAnsi="宋体" w:eastAsia="宋体" w:cs="宋体"/>
          <w:color w:val="auto"/>
          <w:kern w:val="2"/>
          <w:sz w:val="21"/>
          <w:szCs w:val="21"/>
          <w:highlight w:val="none"/>
          <w:u w:val="single"/>
          <w:lang w:val="en-US" w:eastAsia="zh-CN" w:bidi="ar"/>
        </w:rPr>
        <w:t xml:space="preserve">   现场确定</w:t>
      </w:r>
      <w:r>
        <w:rPr>
          <w:rFonts w:hint="eastAsia" w:ascii="宋体" w:hAnsi="宋体" w:eastAsia="宋体" w:cs="宋体"/>
          <w:color w:val="auto"/>
          <w:kern w:val="0"/>
          <w:sz w:val="21"/>
          <w:szCs w:val="21"/>
          <w:highlight w:val="none"/>
          <w:lang w:val="en-US" w:eastAsia="zh-CN" w:bidi="ar"/>
        </w:rPr>
        <w:t>。</w:t>
      </w:r>
    </w:p>
    <w:p w14:paraId="5EAD830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1.3法律 </w:t>
      </w:r>
    </w:p>
    <w:p w14:paraId="417EDAD6">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适用于合同的其他规范性文件：</w:t>
      </w:r>
      <w:r>
        <w:rPr>
          <w:rFonts w:hint="eastAsia" w:ascii="宋体" w:hAnsi="宋体" w:eastAsia="宋体" w:cs="宋体"/>
          <w:color w:val="auto"/>
          <w:kern w:val="2"/>
          <w:sz w:val="21"/>
          <w:szCs w:val="21"/>
          <w:highlight w:val="none"/>
          <w:u w:val="single"/>
          <w:lang w:val="en-US" w:eastAsia="zh-CN" w:bidi="ar"/>
        </w:rPr>
        <w:t xml:space="preserve">  《中华人民共和国民法典》、《中华人民共和国建筑法》、《中华人民共和国招标投标法》、《建设工程质量管理条例》、《建设工程安全生产管理条例》等国家及工程所在地现行有效的法律法规和规章  。</w:t>
      </w:r>
    </w:p>
    <w:p w14:paraId="4643EC0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 标准和规范</w:t>
      </w:r>
    </w:p>
    <w:p w14:paraId="0283E2E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1.4.1适用于工程的标准规范包括：</w:t>
      </w:r>
      <w:r>
        <w:rPr>
          <w:rFonts w:hint="eastAsia" w:ascii="宋体" w:hAnsi="宋体" w:eastAsia="宋体" w:cs="宋体"/>
          <w:color w:val="auto"/>
          <w:kern w:val="2"/>
          <w:sz w:val="21"/>
          <w:szCs w:val="21"/>
          <w:highlight w:val="none"/>
          <w:u w:val="single"/>
          <w:lang w:val="en-US" w:eastAsia="zh-CN" w:bidi="ar"/>
        </w:rPr>
        <w:t xml:space="preserve"> 中华人民共和国住房和城乡建设部等部门及省、市发布的有关文件</w:t>
      </w:r>
      <w:r>
        <w:rPr>
          <w:rFonts w:hint="eastAsia" w:ascii="宋体" w:hAnsi="宋体" w:eastAsia="宋体" w:cs="宋体"/>
          <w:color w:val="auto"/>
          <w:kern w:val="2"/>
          <w:sz w:val="21"/>
          <w:szCs w:val="21"/>
          <w:highlight w:val="none"/>
          <w:lang w:val="en-US" w:eastAsia="zh-CN" w:bidi="ar"/>
        </w:rPr>
        <w:t>。</w:t>
      </w:r>
    </w:p>
    <w:p w14:paraId="0588811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1.4.2 发包人提供国外标准、规范的名称：</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承包人自备国内现行适用的标准、规范</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41CD01E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发包人提供国外标准、规范的份数：</w:t>
      </w:r>
      <w:r>
        <w:rPr>
          <w:rFonts w:hint="eastAsia" w:ascii="宋体" w:hAnsi="宋体" w:eastAsia="宋体" w:cs="宋体"/>
          <w:color w:val="auto"/>
          <w:kern w:val="0"/>
          <w:sz w:val="21"/>
          <w:szCs w:val="21"/>
          <w:highlight w:val="none"/>
          <w:u w:val="single"/>
          <w:lang w:val="en-US" w:eastAsia="zh-CN" w:bidi="ar"/>
        </w:rPr>
        <w:t xml:space="preserve">   无   </w:t>
      </w:r>
      <w:r>
        <w:rPr>
          <w:rFonts w:hint="eastAsia" w:ascii="宋体" w:hAnsi="宋体" w:eastAsia="宋体" w:cs="宋体"/>
          <w:color w:val="auto"/>
          <w:kern w:val="0"/>
          <w:sz w:val="21"/>
          <w:szCs w:val="21"/>
          <w:highlight w:val="none"/>
          <w:lang w:val="en-US" w:eastAsia="zh-CN" w:bidi="ar"/>
        </w:rPr>
        <w:t>；</w:t>
      </w:r>
    </w:p>
    <w:p w14:paraId="3F301C2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发包人提供国外标准、规范的名称：</w:t>
      </w:r>
      <w:r>
        <w:rPr>
          <w:rFonts w:hint="eastAsia" w:ascii="宋体" w:hAnsi="宋体" w:eastAsia="宋体" w:cs="宋体"/>
          <w:color w:val="auto"/>
          <w:kern w:val="0"/>
          <w:sz w:val="21"/>
          <w:szCs w:val="21"/>
          <w:highlight w:val="none"/>
          <w:u w:val="single"/>
          <w:lang w:val="en-US" w:eastAsia="zh-CN" w:bidi="ar"/>
        </w:rPr>
        <w:t xml:space="preserve">   无   </w:t>
      </w:r>
      <w:r>
        <w:rPr>
          <w:rFonts w:hint="eastAsia" w:ascii="宋体" w:hAnsi="宋体" w:eastAsia="宋体" w:cs="宋体"/>
          <w:color w:val="auto"/>
          <w:kern w:val="0"/>
          <w:sz w:val="21"/>
          <w:szCs w:val="21"/>
          <w:highlight w:val="none"/>
          <w:lang w:val="en-US" w:eastAsia="zh-CN" w:bidi="ar"/>
        </w:rPr>
        <w:t>。</w:t>
      </w:r>
    </w:p>
    <w:p w14:paraId="12B9F1D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1.4.3发包人对工程的技术标准和功能要求的特殊要求：</w:t>
      </w:r>
      <w:r>
        <w:rPr>
          <w:rFonts w:hint="eastAsia" w:ascii="宋体" w:hAnsi="宋体" w:eastAsia="宋体" w:cs="宋体"/>
          <w:color w:val="auto"/>
          <w:kern w:val="2"/>
          <w:sz w:val="21"/>
          <w:szCs w:val="21"/>
          <w:highlight w:val="none"/>
          <w:u w:val="single"/>
          <w:lang w:val="en-US" w:eastAsia="zh-CN" w:bidi="ar"/>
        </w:rPr>
        <w:t xml:space="preserve">按现行规范执行  </w:t>
      </w:r>
      <w:r>
        <w:rPr>
          <w:rFonts w:hint="eastAsia" w:ascii="宋体" w:hAnsi="宋体" w:eastAsia="宋体" w:cs="宋体"/>
          <w:color w:val="auto"/>
          <w:kern w:val="2"/>
          <w:sz w:val="21"/>
          <w:szCs w:val="21"/>
          <w:highlight w:val="none"/>
          <w:lang w:val="en-US" w:eastAsia="zh-CN" w:bidi="ar"/>
        </w:rPr>
        <w:t>。</w:t>
      </w:r>
    </w:p>
    <w:p w14:paraId="20BD34D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 合同文件的优先顺序</w:t>
      </w:r>
    </w:p>
    <w:p w14:paraId="03E272C7">
      <w:pPr>
        <w:keepNext w:val="0"/>
        <w:keepLines w:val="0"/>
        <w:widowControl w:val="0"/>
        <w:suppressLineNumbers w:val="0"/>
        <w:snapToGrid w:val="0"/>
        <w:spacing w:before="0" w:beforeAutospacing="0" w:after="0" w:afterAutospacing="0" w:line="440" w:lineRule="exact"/>
        <w:ind w:left="0" w:right="0" w:firstLine="420" w:firstLineChars="200"/>
        <w:jc w:val="both"/>
        <w:rPr>
          <w:rFonts w:hint="default" w:ascii="Times New Roman" w:hAnsi="Times New Roman"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合同文件组成及优先顺序为：</w:t>
      </w:r>
      <w:r>
        <w:rPr>
          <w:rFonts w:hint="eastAsia" w:ascii="宋体" w:hAnsi="宋体" w:eastAsia="宋体" w:cs="宋体"/>
          <w:color w:val="auto"/>
          <w:kern w:val="2"/>
          <w:sz w:val="21"/>
          <w:szCs w:val="21"/>
          <w:highlight w:val="none"/>
          <w:u w:val="single"/>
          <w:lang w:val="en-US" w:eastAsia="zh-CN" w:bidi="ar"/>
        </w:rPr>
        <w:t>（1）合同协议书；（2）中标通知书；（3）确认函及其附录；（4）招标文件；（5）专用合同条款及其附件；（6）通用合同条款；（7）技术标准和要求；（8）图纸；（9）已标价工程量清单或预算书；（10）其他合同文件。</w:t>
      </w:r>
    </w:p>
    <w:p w14:paraId="4639AB7A">
      <w:pPr>
        <w:pStyle w:val="42"/>
        <w:keepNext w:val="0"/>
        <w:keepLines w:val="0"/>
        <w:widowControl w:val="0"/>
        <w:suppressLineNumbers w:val="0"/>
        <w:spacing w:before="0" w:beforeAutospacing="1" w:after="0" w:afterAutospacing="0" w:line="440" w:lineRule="exact"/>
        <w:ind w:left="0" w:leftChars="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上述各项合同文件包括合同当事人就该项合同文件所作出的补充和修改，属于同一类内容的文件，应以最新签署的为准。</w:t>
      </w:r>
    </w:p>
    <w:p w14:paraId="74F104E1">
      <w:pPr>
        <w:pStyle w:val="42"/>
        <w:keepNext w:val="0"/>
        <w:keepLines w:val="0"/>
        <w:widowControl w:val="0"/>
        <w:suppressLineNumbers w:val="0"/>
        <w:spacing w:before="0" w:beforeAutospacing="1" w:after="0" w:afterAutospacing="0" w:line="440" w:lineRule="exact"/>
        <w:ind w:left="0" w:leftChars="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在合同订立及履行过程中形成的与合同有关的文件均构成合同文件组成部分，并根据其性质确定优先解释顺序。</w:t>
      </w:r>
    </w:p>
    <w:p w14:paraId="598E992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 图纸和承包人文件</w:t>
      </w:r>
      <w:r>
        <w:rPr>
          <w:rFonts w:hint="eastAsia" w:ascii="宋体" w:hAnsi="宋体" w:eastAsia="宋体" w:cs="宋体"/>
          <w:color w:val="auto"/>
          <w:kern w:val="2"/>
          <w:sz w:val="21"/>
          <w:szCs w:val="21"/>
          <w:highlight w:val="none"/>
          <w:lang w:val="en-US" w:eastAsia="zh-CN" w:bidi="ar"/>
        </w:rPr>
        <w:tab/>
      </w:r>
    </w:p>
    <w:p w14:paraId="47BE6C4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1.6.1 图纸的提供</w:t>
      </w:r>
    </w:p>
    <w:p w14:paraId="73D2924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发包人向承包人提供图纸的期限：</w:t>
      </w:r>
      <w:r>
        <w:rPr>
          <w:rFonts w:hint="eastAsia" w:ascii="宋体" w:hAnsi="宋体" w:eastAsia="宋体" w:cs="宋体"/>
          <w:color w:val="auto"/>
          <w:kern w:val="2"/>
          <w:sz w:val="21"/>
          <w:szCs w:val="21"/>
          <w:highlight w:val="none"/>
          <w:u w:val="single"/>
          <w:lang w:val="en-US" w:eastAsia="zh-CN" w:bidi="ar"/>
        </w:rPr>
        <w:t xml:space="preserve"> 开工前14天</w:t>
      </w:r>
      <w:r>
        <w:rPr>
          <w:rFonts w:hint="eastAsia" w:ascii="宋体" w:hAnsi="宋体" w:eastAsia="宋体" w:cs="宋体"/>
          <w:color w:val="auto"/>
          <w:kern w:val="2"/>
          <w:sz w:val="21"/>
          <w:szCs w:val="21"/>
          <w:highlight w:val="none"/>
          <w:lang w:val="en-US" w:eastAsia="zh-CN" w:bidi="ar"/>
        </w:rPr>
        <w:t>；</w:t>
      </w:r>
    </w:p>
    <w:p w14:paraId="48391B3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发包人向承包人提供图纸的数量：</w:t>
      </w:r>
      <w:r>
        <w:rPr>
          <w:rFonts w:hint="eastAsia" w:ascii="宋体" w:hAnsi="宋体" w:eastAsia="宋体" w:cs="宋体"/>
          <w:color w:val="auto"/>
          <w:kern w:val="2"/>
          <w:sz w:val="21"/>
          <w:szCs w:val="21"/>
          <w:highlight w:val="none"/>
          <w:u w:val="single"/>
          <w:lang w:val="en-US" w:eastAsia="zh-CN" w:bidi="ar"/>
        </w:rPr>
        <w:t xml:space="preserve">3份 </w:t>
      </w:r>
      <w:r>
        <w:rPr>
          <w:rFonts w:hint="eastAsia" w:ascii="宋体" w:hAnsi="宋体" w:eastAsia="宋体" w:cs="宋体"/>
          <w:color w:val="auto"/>
          <w:kern w:val="2"/>
          <w:sz w:val="21"/>
          <w:szCs w:val="21"/>
          <w:highlight w:val="none"/>
          <w:lang w:val="en-US" w:eastAsia="zh-CN" w:bidi="ar"/>
        </w:rPr>
        <w:t>；</w:t>
      </w:r>
    </w:p>
    <w:p w14:paraId="6EFD773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发包人向承包人提供图纸的内容：</w:t>
      </w:r>
      <w:r>
        <w:rPr>
          <w:rFonts w:hint="eastAsia" w:ascii="宋体" w:hAnsi="宋体" w:eastAsia="宋体" w:cs="宋体"/>
          <w:color w:val="auto"/>
          <w:kern w:val="2"/>
          <w:sz w:val="21"/>
          <w:szCs w:val="21"/>
          <w:highlight w:val="none"/>
          <w:u w:val="single"/>
          <w:lang w:val="en-US" w:eastAsia="zh-CN" w:bidi="ar"/>
        </w:rPr>
        <w:t>全套施工图 </w:t>
      </w:r>
      <w:r>
        <w:rPr>
          <w:rFonts w:hint="eastAsia" w:ascii="宋体" w:hAnsi="宋体" w:eastAsia="宋体" w:cs="宋体"/>
          <w:color w:val="auto"/>
          <w:kern w:val="2"/>
          <w:sz w:val="21"/>
          <w:szCs w:val="21"/>
          <w:highlight w:val="none"/>
          <w:lang w:val="en-US" w:eastAsia="zh-CN" w:bidi="ar"/>
        </w:rPr>
        <w:t>。</w:t>
      </w:r>
    </w:p>
    <w:p w14:paraId="7C7854A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1.6.4 承包人文件</w:t>
      </w:r>
    </w:p>
    <w:p w14:paraId="42AF792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需要由承包人提供的文件，包括：</w:t>
      </w:r>
      <w:r>
        <w:rPr>
          <w:rFonts w:hint="eastAsia" w:ascii="宋体" w:hAnsi="宋体" w:eastAsia="宋体" w:cs="宋体"/>
          <w:color w:val="auto"/>
          <w:kern w:val="2"/>
          <w:sz w:val="21"/>
          <w:szCs w:val="21"/>
          <w:highlight w:val="none"/>
          <w:u w:val="single"/>
          <w:lang w:val="en-US" w:eastAsia="zh-CN" w:bidi="ar"/>
        </w:rPr>
        <w:t xml:space="preserve">按监理要求执行，包括但不限于项目部人员证书（在领取中标通知书前）、项目部任命文、实施性施工组织设计等  </w:t>
      </w:r>
      <w:r>
        <w:rPr>
          <w:rFonts w:hint="eastAsia" w:ascii="宋体" w:hAnsi="宋体" w:eastAsia="宋体" w:cs="宋体"/>
          <w:color w:val="auto"/>
          <w:kern w:val="2"/>
          <w:sz w:val="21"/>
          <w:szCs w:val="21"/>
          <w:highlight w:val="none"/>
          <w:lang w:val="en-US" w:eastAsia="zh-CN" w:bidi="ar"/>
        </w:rPr>
        <w:t>；</w:t>
      </w:r>
    </w:p>
    <w:p w14:paraId="51C72E8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承包人提供的文件的期限为：</w:t>
      </w:r>
      <w:r>
        <w:rPr>
          <w:rFonts w:hint="eastAsia" w:ascii="宋体" w:hAnsi="宋体" w:eastAsia="宋体" w:cs="宋体"/>
          <w:color w:val="auto"/>
          <w:kern w:val="2"/>
          <w:sz w:val="21"/>
          <w:szCs w:val="21"/>
          <w:highlight w:val="none"/>
          <w:u w:val="single"/>
          <w:lang w:val="en-US" w:eastAsia="zh-CN" w:bidi="ar"/>
        </w:rPr>
        <w:t xml:space="preserve">按监理要求执行    </w:t>
      </w:r>
      <w:r>
        <w:rPr>
          <w:rFonts w:hint="eastAsia" w:ascii="宋体" w:hAnsi="宋体" w:eastAsia="宋体" w:cs="宋体"/>
          <w:color w:val="auto"/>
          <w:kern w:val="2"/>
          <w:sz w:val="21"/>
          <w:szCs w:val="21"/>
          <w:highlight w:val="none"/>
          <w:lang w:val="en-US" w:eastAsia="zh-CN" w:bidi="ar"/>
        </w:rPr>
        <w:t>；</w:t>
      </w:r>
    </w:p>
    <w:p w14:paraId="49885AE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承包人提供的文件的数量为：</w:t>
      </w:r>
      <w:r>
        <w:rPr>
          <w:rFonts w:hint="eastAsia" w:ascii="宋体" w:hAnsi="宋体" w:eastAsia="宋体" w:cs="宋体"/>
          <w:color w:val="auto"/>
          <w:kern w:val="2"/>
          <w:sz w:val="21"/>
          <w:szCs w:val="21"/>
          <w:highlight w:val="none"/>
          <w:u w:val="single"/>
          <w:lang w:val="en-US" w:eastAsia="zh-CN" w:bidi="ar"/>
        </w:rPr>
        <w:t xml:space="preserve">  按监理要求执行    </w:t>
      </w:r>
      <w:r>
        <w:rPr>
          <w:rFonts w:hint="eastAsia" w:ascii="宋体" w:hAnsi="宋体" w:eastAsia="宋体" w:cs="宋体"/>
          <w:color w:val="auto"/>
          <w:kern w:val="2"/>
          <w:sz w:val="21"/>
          <w:szCs w:val="21"/>
          <w:highlight w:val="none"/>
          <w:lang w:val="en-US" w:eastAsia="zh-CN" w:bidi="ar"/>
        </w:rPr>
        <w:t>；</w:t>
      </w:r>
    </w:p>
    <w:p w14:paraId="00A5B7F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承包人提供的文件的形式为：</w:t>
      </w:r>
      <w:r>
        <w:rPr>
          <w:rFonts w:hint="eastAsia" w:ascii="宋体" w:hAnsi="宋体" w:eastAsia="宋体" w:cs="宋体"/>
          <w:color w:val="auto"/>
          <w:kern w:val="2"/>
          <w:sz w:val="21"/>
          <w:szCs w:val="21"/>
          <w:highlight w:val="none"/>
          <w:u w:val="single"/>
          <w:lang w:val="en-US" w:eastAsia="zh-CN" w:bidi="ar"/>
        </w:rPr>
        <w:t>按监理要求执行  </w:t>
      </w:r>
      <w:r>
        <w:rPr>
          <w:rFonts w:hint="eastAsia" w:ascii="宋体" w:hAnsi="宋体" w:eastAsia="宋体" w:cs="宋体"/>
          <w:color w:val="auto"/>
          <w:kern w:val="2"/>
          <w:sz w:val="21"/>
          <w:szCs w:val="21"/>
          <w:highlight w:val="none"/>
          <w:lang w:val="en-US" w:eastAsia="zh-CN" w:bidi="ar"/>
        </w:rPr>
        <w:t>；</w:t>
      </w:r>
    </w:p>
    <w:p w14:paraId="036A4AE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发包人审批承包人文件的期限：</w:t>
      </w:r>
      <w:r>
        <w:rPr>
          <w:rFonts w:hint="eastAsia" w:ascii="宋体" w:hAnsi="宋体" w:eastAsia="宋体" w:cs="宋体"/>
          <w:color w:val="auto"/>
          <w:kern w:val="2"/>
          <w:sz w:val="21"/>
          <w:szCs w:val="21"/>
          <w:highlight w:val="none"/>
          <w:u w:val="single"/>
          <w:lang w:val="en-US" w:eastAsia="zh-CN" w:bidi="ar"/>
        </w:rPr>
        <w:t>  7天 </w:t>
      </w:r>
      <w:r>
        <w:rPr>
          <w:rFonts w:hint="eastAsia" w:ascii="宋体" w:hAnsi="宋体" w:eastAsia="宋体" w:cs="宋体"/>
          <w:color w:val="auto"/>
          <w:kern w:val="2"/>
          <w:sz w:val="21"/>
          <w:szCs w:val="21"/>
          <w:highlight w:val="none"/>
          <w:lang w:val="en-US" w:eastAsia="zh-CN" w:bidi="ar"/>
        </w:rPr>
        <w:t>。</w:t>
      </w:r>
    </w:p>
    <w:p w14:paraId="4AFAB92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1.6.5 图纸和承包人文件的保管</w:t>
      </w:r>
    </w:p>
    <w:p w14:paraId="6D37D2B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关于图纸和承包人文件的保管的约定：</w:t>
      </w:r>
      <w:r>
        <w:rPr>
          <w:rFonts w:hint="eastAsia" w:ascii="宋体" w:hAnsi="宋体" w:eastAsia="宋体" w:cs="宋体"/>
          <w:color w:val="auto"/>
          <w:kern w:val="2"/>
          <w:sz w:val="21"/>
          <w:szCs w:val="21"/>
          <w:highlight w:val="none"/>
          <w:u w:val="single"/>
          <w:lang w:val="en-US" w:eastAsia="zh-CN" w:bidi="ar"/>
        </w:rPr>
        <w:t>除专用合同条款另有约定外，承包人应在施工现场另外保存一套完整的图纸和承包人文件，供发包人、监理人及有关人员进行工程检查时使用</w:t>
      </w:r>
      <w:r>
        <w:rPr>
          <w:rFonts w:hint="eastAsia" w:ascii="宋体" w:hAnsi="宋体" w:eastAsia="宋体" w:cs="宋体"/>
          <w:color w:val="auto"/>
          <w:kern w:val="2"/>
          <w:sz w:val="21"/>
          <w:szCs w:val="21"/>
          <w:highlight w:val="none"/>
          <w:lang w:val="en-US" w:eastAsia="zh-CN" w:bidi="ar"/>
        </w:rPr>
        <w:t>。</w:t>
      </w:r>
    </w:p>
    <w:p w14:paraId="75FECE8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1.7 联络</w:t>
      </w:r>
    </w:p>
    <w:p w14:paraId="6C61CB9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1.7.1发包人和承包人应当在</w:t>
      </w:r>
      <w:r>
        <w:rPr>
          <w:rFonts w:hint="eastAsia" w:ascii="宋体" w:hAnsi="宋体" w:eastAsia="宋体" w:cs="宋体"/>
          <w:color w:val="auto"/>
          <w:kern w:val="2"/>
          <w:sz w:val="21"/>
          <w:szCs w:val="21"/>
          <w:highlight w:val="none"/>
          <w:u w:val="single"/>
          <w:lang w:val="en-US" w:eastAsia="zh-CN" w:bidi="ar"/>
        </w:rPr>
        <w:t xml:space="preserve">7天  </w:t>
      </w:r>
      <w:r>
        <w:rPr>
          <w:rFonts w:hint="eastAsia" w:ascii="宋体" w:hAnsi="宋体" w:eastAsia="宋体" w:cs="宋体"/>
          <w:color w:val="auto"/>
          <w:kern w:val="0"/>
          <w:sz w:val="21"/>
          <w:szCs w:val="21"/>
          <w:highlight w:val="none"/>
          <w:lang w:val="en-US" w:eastAsia="zh-CN" w:bidi="ar"/>
        </w:rPr>
        <w:t>内将与合同有关的通知、批准、证明、证书、指示、指令、要求、请求、同意、意见、确定和决定等书面函件送达对方当事人。</w:t>
      </w:r>
    </w:p>
    <w:p w14:paraId="0809086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1.7.2 发包人接收文件的地点：</w:t>
      </w:r>
      <w:r>
        <w:rPr>
          <w:rFonts w:hint="eastAsia" w:ascii="宋体" w:hAnsi="宋体" w:eastAsia="宋体" w:cs="宋体"/>
          <w:color w:val="auto"/>
          <w:kern w:val="2"/>
          <w:sz w:val="21"/>
          <w:szCs w:val="21"/>
          <w:highlight w:val="none"/>
          <w:u w:val="single"/>
          <w:lang w:val="en-US" w:eastAsia="zh-CN" w:bidi="ar"/>
        </w:rPr>
        <w:t>安徽省琅琊山旅游发展有限公司或项目部</w:t>
      </w:r>
      <w:r>
        <w:rPr>
          <w:rFonts w:hint="eastAsia" w:ascii="宋体" w:hAnsi="宋体" w:eastAsia="宋体" w:cs="宋体"/>
          <w:color w:val="auto"/>
          <w:kern w:val="0"/>
          <w:sz w:val="21"/>
          <w:szCs w:val="21"/>
          <w:highlight w:val="none"/>
          <w:lang w:val="en-US" w:eastAsia="zh-CN" w:bidi="ar"/>
        </w:rPr>
        <w:t>；</w:t>
      </w:r>
    </w:p>
    <w:p w14:paraId="6A50A09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发包人指定的接收人为：</w:t>
      </w:r>
      <w:r>
        <w:rPr>
          <w:rFonts w:hint="eastAsia" w:ascii="宋体" w:hAnsi="宋体" w:eastAsia="宋体" w:cs="宋体"/>
          <w:color w:val="auto"/>
          <w:kern w:val="2"/>
          <w:sz w:val="21"/>
          <w:szCs w:val="21"/>
          <w:highlight w:val="none"/>
          <w:u w:val="single"/>
          <w:lang w:val="en-US" w:eastAsia="zh-CN" w:bidi="ar"/>
        </w:rPr>
        <w:t>发包人代表</w:t>
      </w:r>
      <w:r>
        <w:rPr>
          <w:rFonts w:hint="eastAsia" w:ascii="宋体" w:hAnsi="宋体" w:eastAsia="宋体" w:cs="宋体"/>
          <w:color w:val="auto"/>
          <w:kern w:val="0"/>
          <w:sz w:val="21"/>
          <w:szCs w:val="21"/>
          <w:highlight w:val="none"/>
          <w:lang w:val="en-US" w:eastAsia="zh-CN" w:bidi="ar"/>
        </w:rPr>
        <w:t>；</w:t>
      </w:r>
    </w:p>
    <w:p w14:paraId="109F47C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承包人接收文件的地点：</w:t>
      </w:r>
      <w:r>
        <w:rPr>
          <w:rFonts w:hint="eastAsia" w:ascii="宋体" w:hAnsi="宋体" w:eastAsia="宋体" w:cs="宋体"/>
          <w:color w:val="auto"/>
          <w:kern w:val="2"/>
          <w:sz w:val="21"/>
          <w:szCs w:val="21"/>
          <w:highlight w:val="none"/>
          <w:u w:val="single"/>
          <w:lang w:val="en-US" w:eastAsia="zh-CN" w:bidi="ar"/>
        </w:rPr>
        <w:t>安徽省琅琊山旅游发展有限公司或项目部</w:t>
      </w:r>
      <w:r>
        <w:rPr>
          <w:rFonts w:hint="eastAsia" w:ascii="宋体" w:hAnsi="宋体" w:eastAsia="宋体" w:cs="宋体"/>
          <w:color w:val="auto"/>
          <w:kern w:val="0"/>
          <w:sz w:val="21"/>
          <w:szCs w:val="21"/>
          <w:highlight w:val="none"/>
          <w:lang w:val="en-US" w:eastAsia="zh-CN" w:bidi="ar"/>
        </w:rPr>
        <w:t>；</w:t>
      </w:r>
    </w:p>
    <w:p w14:paraId="1C814BE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承包人指定的接收人为：</w:t>
      </w:r>
      <w:r>
        <w:rPr>
          <w:rFonts w:hint="eastAsia" w:ascii="宋体" w:hAnsi="宋体" w:eastAsia="宋体" w:cs="宋体"/>
          <w:color w:val="auto"/>
          <w:kern w:val="2"/>
          <w:sz w:val="21"/>
          <w:szCs w:val="21"/>
          <w:highlight w:val="none"/>
          <w:u w:val="single"/>
          <w:lang w:val="en-US" w:eastAsia="zh-CN" w:bidi="ar"/>
        </w:rPr>
        <w:t>项目经理</w:t>
      </w:r>
      <w:r>
        <w:rPr>
          <w:rFonts w:hint="eastAsia" w:ascii="宋体" w:hAnsi="宋体" w:eastAsia="宋体" w:cs="宋体"/>
          <w:color w:val="auto"/>
          <w:kern w:val="0"/>
          <w:sz w:val="21"/>
          <w:szCs w:val="21"/>
          <w:highlight w:val="none"/>
          <w:lang w:val="en-US" w:eastAsia="zh-CN" w:bidi="ar"/>
        </w:rPr>
        <w:t>。</w:t>
      </w:r>
    </w:p>
    <w:p w14:paraId="69FCD57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监理人接收文件的地点：</w:t>
      </w:r>
      <w:r>
        <w:rPr>
          <w:rFonts w:hint="eastAsia" w:ascii="宋体" w:hAnsi="宋体" w:eastAsia="宋体" w:cs="宋体"/>
          <w:color w:val="auto"/>
          <w:kern w:val="2"/>
          <w:sz w:val="21"/>
          <w:szCs w:val="21"/>
          <w:highlight w:val="none"/>
          <w:u w:val="single"/>
          <w:lang w:val="en-US" w:eastAsia="zh-CN" w:bidi="ar"/>
        </w:rPr>
        <w:t>安徽省琅琊山旅游发展有限公司或监理部</w:t>
      </w:r>
      <w:r>
        <w:rPr>
          <w:rFonts w:hint="eastAsia" w:ascii="宋体" w:hAnsi="宋体" w:eastAsia="宋体" w:cs="宋体"/>
          <w:color w:val="auto"/>
          <w:kern w:val="0"/>
          <w:sz w:val="21"/>
          <w:szCs w:val="21"/>
          <w:highlight w:val="none"/>
          <w:lang w:val="en-US" w:eastAsia="zh-CN" w:bidi="ar"/>
        </w:rPr>
        <w:t>；</w:t>
      </w:r>
    </w:p>
    <w:p w14:paraId="3F31A42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监理人指定的接收人为：</w:t>
      </w:r>
      <w:r>
        <w:rPr>
          <w:rFonts w:hint="eastAsia" w:ascii="宋体" w:hAnsi="宋体" w:eastAsia="宋体" w:cs="宋体"/>
          <w:color w:val="auto"/>
          <w:kern w:val="2"/>
          <w:sz w:val="21"/>
          <w:szCs w:val="21"/>
          <w:highlight w:val="none"/>
          <w:u w:val="single"/>
          <w:lang w:val="en-US" w:eastAsia="zh-CN" w:bidi="ar"/>
        </w:rPr>
        <w:t>总监理工程师或总监代表 </w:t>
      </w:r>
      <w:r>
        <w:rPr>
          <w:rFonts w:hint="eastAsia" w:ascii="宋体" w:hAnsi="宋体" w:eastAsia="宋体" w:cs="宋体"/>
          <w:color w:val="auto"/>
          <w:kern w:val="0"/>
          <w:sz w:val="21"/>
          <w:szCs w:val="21"/>
          <w:highlight w:val="none"/>
          <w:lang w:val="en-US" w:eastAsia="zh-CN" w:bidi="ar"/>
        </w:rPr>
        <w:t>。</w:t>
      </w:r>
    </w:p>
    <w:p w14:paraId="7391A71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1.10 交通运输</w:t>
      </w:r>
    </w:p>
    <w:p w14:paraId="253DC6B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1.10.1 出入现场的权利</w:t>
      </w:r>
    </w:p>
    <w:p w14:paraId="2153AC4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关于出入现场的权利的约定：</w:t>
      </w:r>
      <w:r>
        <w:rPr>
          <w:rFonts w:hint="eastAsia" w:ascii="宋体" w:hAnsi="宋体" w:eastAsia="宋体" w:cs="宋体"/>
          <w:color w:val="auto"/>
          <w:kern w:val="2"/>
          <w:sz w:val="21"/>
          <w:szCs w:val="21"/>
          <w:highlight w:val="none"/>
          <w:u w:val="single"/>
          <w:lang w:val="en-US" w:eastAsia="zh-CN" w:bidi="ar"/>
        </w:rPr>
        <w:t>发包人应根据施工需要，负责取得出入施工现场所需的批准手续和全部权利，以及取得因施工所需修建道路、桥梁以及其他基础设施的权利，并承担相关手续费用和建设费用，若该费用已包含在本项目发包范围，则由承包人自行解决并承担费用。承包人应协助发包人办理修建场内外道路、桥梁以及其他基础设施的手续。</w:t>
      </w:r>
    </w:p>
    <w:p w14:paraId="2A0083F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承包人应在订立合同前查勘施工现场，并根据工程规模及技术参数合理预见工程施工所需的进出施工现场的方式、手段、路径等。因承包人未合理预见所增加的费用和（或）延误的工期由承包人承担。</w:t>
      </w:r>
    </w:p>
    <w:p w14:paraId="6071F41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1.10.3 场内交通</w:t>
      </w:r>
    </w:p>
    <w:p w14:paraId="27EDC7C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关于场外交通和场内交通的边界的约定：</w:t>
      </w:r>
      <w:r>
        <w:rPr>
          <w:rFonts w:hint="eastAsia" w:ascii="宋体" w:hAnsi="宋体" w:eastAsia="宋体" w:cs="宋体"/>
          <w:color w:val="auto"/>
          <w:kern w:val="2"/>
          <w:sz w:val="21"/>
          <w:szCs w:val="21"/>
          <w:highlight w:val="none"/>
          <w:u w:val="single"/>
          <w:lang w:val="en-US" w:eastAsia="zh-CN" w:bidi="ar"/>
        </w:rPr>
        <w:t>场内交通设施和道路由承包人负责建设，发包人不另支付费用，场内交通边界现场确定</w:t>
      </w:r>
      <w:r>
        <w:rPr>
          <w:rFonts w:hint="eastAsia" w:ascii="宋体" w:hAnsi="宋体" w:eastAsia="宋体" w:cs="宋体"/>
          <w:color w:val="auto"/>
          <w:kern w:val="2"/>
          <w:sz w:val="21"/>
          <w:szCs w:val="21"/>
          <w:highlight w:val="none"/>
          <w:lang w:val="en-US" w:eastAsia="zh-CN" w:bidi="ar"/>
        </w:rPr>
        <w:t>。</w:t>
      </w:r>
    </w:p>
    <w:p w14:paraId="45C146C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关于发包人向承包人免费提供满足工程施工需要的场内道路和交通设施的约定：</w:t>
      </w:r>
      <w:r>
        <w:rPr>
          <w:rFonts w:hint="eastAsia" w:ascii="宋体" w:hAnsi="宋体" w:eastAsia="宋体" w:cs="宋体"/>
          <w:color w:val="auto"/>
          <w:kern w:val="2"/>
          <w:sz w:val="21"/>
          <w:szCs w:val="21"/>
          <w:highlight w:val="none"/>
          <w:u w:val="single"/>
          <w:lang w:val="en-US" w:eastAsia="zh-CN" w:bidi="ar"/>
        </w:rPr>
        <w:t xml:space="preserve">自行踏勘，自行解决 </w:t>
      </w:r>
      <w:r>
        <w:rPr>
          <w:rFonts w:hint="eastAsia" w:ascii="宋体" w:hAnsi="宋体" w:eastAsia="宋体" w:cs="宋体"/>
          <w:color w:val="auto"/>
          <w:kern w:val="2"/>
          <w:sz w:val="21"/>
          <w:szCs w:val="21"/>
          <w:highlight w:val="none"/>
          <w:lang w:val="en-US" w:eastAsia="zh-CN" w:bidi="ar"/>
        </w:rPr>
        <w:t>。</w:t>
      </w:r>
    </w:p>
    <w:p w14:paraId="782485BB">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1.10.4超大件和超重件的运输</w:t>
      </w:r>
    </w:p>
    <w:p w14:paraId="71DB0B0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运输超大件或超重件所需的道路和桥梁临时加固改造费用和其他有关费用由</w:t>
      </w:r>
      <w:r>
        <w:rPr>
          <w:rFonts w:hint="eastAsia" w:ascii="宋体" w:hAnsi="宋体" w:eastAsia="宋体" w:cs="宋体"/>
          <w:color w:val="auto"/>
          <w:kern w:val="2"/>
          <w:sz w:val="21"/>
          <w:szCs w:val="21"/>
          <w:highlight w:val="none"/>
          <w:u w:val="single"/>
          <w:lang w:val="en-US" w:eastAsia="zh-CN" w:bidi="ar"/>
        </w:rPr>
        <w:t xml:space="preserve">  承包方 </w:t>
      </w:r>
      <w:r>
        <w:rPr>
          <w:rFonts w:hint="eastAsia" w:ascii="宋体" w:hAnsi="宋体" w:eastAsia="宋体" w:cs="宋体"/>
          <w:color w:val="auto"/>
          <w:kern w:val="2"/>
          <w:sz w:val="21"/>
          <w:szCs w:val="21"/>
          <w:highlight w:val="none"/>
          <w:lang w:val="en-US" w:eastAsia="zh-CN" w:bidi="ar"/>
        </w:rPr>
        <w:t>承担。</w:t>
      </w:r>
    </w:p>
    <w:p w14:paraId="1083401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1.11 知识产权</w:t>
      </w:r>
    </w:p>
    <w:p w14:paraId="1F79818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kern w:val="2"/>
          <w:sz w:val="21"/>
          <w:szCs w:val="21"/>
          <w:highlight w:val="none"/>
          <w:u w:val="single"/>
          <w:lang w:val="en-US" w:eastAsia="zh-CN" w:bidi="ar"/>
        </w:rPr>
        <w:t xml:space="preserve">发包人 </w:t>
      </w:r>
      <w:r>
        <w:rPr>
          <w:rFonts w:hint="eastAsia" w:ascii="宋体" w:hAnsi="宋体" w:eastAsia="宋体" w:cs="宋体"/>
          <w:color w:val="auto"/>
          <w:kern w:val="2"/>
          <w:sz w:val="21"/>
          <w:szCs w:val="21"/>
          <w:highlight w:val="none"/>
          <w:lang w:val="en-US" w:eastAsia="zh-CN" w:bidi="ar"/>
        </w:rPr>
        <w:t>。</w:t>
      </w:r>
    </w:p>
    <w:p w14:paraId="0E7E36B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关于发包人提供的上述文件的使用限制的要求：</w:t>
      </w:r>
      <w:r>
        <w:rPr>
          <w:rFonts w:hint="eastAsia" w:ascii="宋体" w:hAnsi="宋体" w:eastAsia="宋体" w:cs="宋体"/>
          <w:color w:val="auto"/>
          <w:kern w:val="2"/>
          <w:sz w:val="21"/>
          <w:szCs w:val="21"/>
          <w:highlight w:val="none"/>
          <w:u w:val="single"/>
          <w:lang w:val="en-US" w:eastAsia="zh-CN" w:bidi="ar"/>
        </w:rPr>
        <w:t>承包人可以为实现合同目的而复制、使用此类文件，但不能用于与合同无关的其他事项。未经发包人书面同意，承包人不得为了合同以外的目的而复制、使用上述文件或将之提供给任何第三方。</w:t>
      </w:r>
    </w:p>
    <w:p w14:paraId="39D6EB7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1.11.2 关于承包人为实施工程所编制文件的著作权的归属：</w:t>
      </w:r>
      <w:r>
        <w:rPr>
          <w:rFonts w:hint="eastAsia" w:ascii="宋体" w:hAnsi="宋体" w:eastAsia="宋体" w:cs="宋体"/>
          <w:color w:val="auto"/>
          <w:kern w:val="2"/>
          <w:sz w:val="21"/>
          <w:szCs w:val="21"/>
          <w:highlight w:val="none"/>
          <w:u w:val="single"/>
          <w:lang w:val="en-US" w:eastAsia="zh-CN" w:bidi="ar"/>
        </w:rPr>
        <w:t xml:space="preserve"> 发包人  </w:t>
      </w:r>
      <w:r>
        <w:rPr>
          <w:rFonts w:hint="eastAsia" w:ascii="宋体" w:hAnsi="宋体" w:eastAsia="宋体" w:cs="宋体"/>
          <w:color w:val="auto"/>
          <w:kern w:val="2"/>
          <w:sz w:val="21"/>
          <w:szCs w:val="21"/>
          <w:highlight w:val="none"/>
          <w:lang w:val="en-US" w:eastAsia="zh-CN" w:bidi="ar"/>
        </w:rPr>
        <w:t>。</w:t>
      </w:r>
    </w:p>
    <w:p w14:paraId="58D809B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关于承包人提供的上述文件的使用限制的要求：</w:t>
      </w:r>
      <w:r>
        <w:rPr>
          <w:rFonts w:hint="eastAsia" w:ascii="宋体" w:hAnsi="宋体" w:eastAsia="宋体" w:cs="宋体"/>
          <w:color w:val="auto"/>
          <w:kern w:val="2"/>
          <w:sz w:val="21"/>
          <w:szCs w:val="21"/>
          <w:highlight w:val="none"/>
          <w:u w:val="single"/>
          <w:lang w:val="en-US" w:eastAsia="zh-CN" w:bidi="ar"/>
        </w:rPr>
        <w:t xml:space="preserve">承包人可因实施工程的运行、调试、维修、改造等目的而复制、使用此类文件，但不能用于与合同无关的其他事项。未经发包人书面同意，承包人不得为了合同以外的目的而复制、使用上述文件或将之提供给任何第三方。 </w:t>
      </w:r>
    </w:p>
    <w:p w14:paraId="71F86B5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1.11.4 承包人在施工过程中所采用的专利、专有技术、技术秘密的使用费的承担方式：</w:t>
      </w:r>
      <w:r>
        <w:rPr>
          <w:rFonts w:hint="eastAsia" w:ascii="宋体" w:hAnsi="宋体" w:eastAsia="宋体" w:cs="宋体"/>
          <w:color w:val="auto"/>
          <w:kern w:val="2"/>
          <w:sz w:val="21"/>
          <w:szCs w:val="21"/>
          <w:highlight w:val="none"/>
          <w:u w:val="single"/>
          <w:lang w:val="en-US" w:eastAsia="zh-CN" w:bidi="ar"/>
        </w:rPr>
        <w:t>该费用已包含在签约合同价中。</w:t>
      </w:r>
    </w:p>
    <w:p w14:paraId="6CC69C5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1.13工程量清单错误的修正</w:t>
      </w:r>
    </w:p>
    <w:p w14:paraId="31B4B8B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出现工程量清单错误时，是否调整合同价格：</w:t>
      </w:r>
      <w:r>
        <w:rPr>
          <w:rFonts w:hint="eastAsia" w:ascii="宋体" w:hAnsi="宋体" w:eastAsia="宋体" w:cs="宋体"/>
          <w:color w:val="auto"/>
          <w:kern w:val="2"/>
          <w:sz w:val="21"/>
          <w:szCs w:val="21"/>
          <w:highlight w:val="none"/>
          <w:u w:val="single"/>
          <w:lang w:val="en-US" w:eastAsia="zh-CN" w:bidi="ar"/>
        </w:rPr>
        <w:t xml:space="preserve">  是，具体调整方式见下款  </w:t>
      </w:r>
      <w:r>
        <w:rPr>
          <w:rFonts w:hint="eastAsia" w:ascii="宋体" w:hAnsi="宋体" w:eastAsia="宋体" w:cs="宋体"/>
          <w:color w:val="auto"/>
          <w:kern w:val="2"/>
          <w:sz w:val="21"/>
          <w:szCs w:val="21"/>
          <w:highlight w:val="none"/>
          <w:lang w:val="en-US" w:eastAsia="zh-CN" w:bidi="ar"/>
        </w:rPr>
        <w:t>。</w:t>
      </w:r>
    </w:p>
    <w:p w14:paraId="1A2CF26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允许调整合同价格的工程量偏差范围：</w:t>
      </w:r>
    </w:p>
    <w:p w14:paraId="7DAD6CAB">
      <w:pPr>
        <w:keepNext w:val="0"/>
        <w:keepLines w:val="0"/>
        <w:widowControl w:val="0"/>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color w:val="auto"/>
          <w:kern w:val="2"/>
          <w:sz w:val="21"/>
          <w:szCs w:val="21"/>
          <w:highlight w:val="none"/>
          <w:u w:val="single"/>
        </w:rPr>
      </w:pPr>
      <w:r>
        <w:rPr>
          <w:rFonts w:hint="eastAsia" w:ascii="宋体" w:hAnsi="宋体" w:eastAsia="宋体" w:cs="宋体"/>
          <w:b/>
          <w:bCs/>
          <w:color w:val="auto"/>
          <w:kern w:val="2"/>
          <w:sz w:val="21"/>
          <w:szCs w:val="21"/>
          <w:highlight w:val="none"/>
          <w:u w:val="single"/>
          <w:lang w:val="en-US" w:eastAsia="zh-CN" w:bidi="ar"/>
        </w:rPr>
        <w:t>承包人拒绝实施因此产生变化的施工内容或范围，将被视为违约，发包人视情节轻重给予违约处罚。结算时，工程量按实计算。结算工程量减少0-100%或增加15%以内部分，执行中标单价；超出15%以外部分，结算单价按最高投标限价单价×投标让利幅度计算且结算单价不得高于中标单价；缺漏项目单价按照最高投标限价的编制原则重新组价×投标让利幅度（上述投标让利幅度为中标价/最高投标限价，其中中标价和最高投标限价均扣除暂列金额、暂估价及相应税金）。</w:t>
      </w:r>
    </w:p>
    <w:p w14:paraId="6F4D72A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技术措施费调整：</w:t>
      </w:r>
      <w:r>
        <w:rPr>
          <w:rFonts w:hint="eastAsia" w:ascii="宋体" w:hAnsi="宋体" w:eastAsia="宋体" w:cs="宋体"/>
          <w:b/>
          <w:bCs w:val="0"/>
          <w:color w:val="auto"/>
          <w:kern w:val="2"/>
          <w:sz w:val="21"/>
          <w:szCs w:val="21"/>
          <w:highlight w:val="none"/>
          <w:u w:val="single"/>
          <w:lang w:val="en-US" w:eastAsia="zh-CN" w:bidi="ar"/>
        </w:rPr>
        <w:t xml:space="preserve"> 因承包人改变施工技术措施，造成的价格变动，措施费不予调整。因工程量清单错误必须改变原来施工技术措施，造成价格变动的，按实调整，变更组价原则同上。</w:t>
      </w:r>
    </w:p>
    <w:p w14:paraId="5FC079E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组织措施费调整：</w:t>
      </w:r>
      <w:r>
        <w:rPr>
          <w:rFonts w:hint="eastAsia" w:ascii="宋体" w:hAnsi="宋体" w:eastAsia="宋体" w:cs="宋体"/>
          <w:b/>
          <w:bCs w:val="0"/>
          <w:color w:val="auto"/>
          <w:kern w:val="2"/>
          <w:sz w:val="21"/>
          <w:szCs w:val="21"/>
          <w:highlight w:val="none"/>
          <w:u w:val="single"/>
          <w:lang w:val="en-US" w:eastAsia="zh-CN" w:bidi="ar"/>
        </w:rPr>
        <w:t>按实调整。</w:t>
      </w:r>
    </w:p>
    <w:p w14:paraId="0246E5A1">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2. 发包人</w:t>
      </w:r>
    </w:p>
    <w:p w14:paraId="4F2FB09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2.2 发包人代表</w:t>
      </w:r>
    </w:p>
    <w:p w14:paraId="1D85638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发包人代表：</w:t>
      </w:r>
    </w:p>
    <w:p w14:paraId="0273282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    名：</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115A777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身份证号：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4E57A16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    务：</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2172F09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21F2110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625208F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3ADF87E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发包人对发包人代表的授权范围如下：</w:t>
      </w:r>
      <w:r>
        <w:rPr>
          <w:rFonts w:hint="eastAsia" w:ascii="宋体" w:hAnsi="宋体" w:eastAsia="宋体" w:cs="宋体"/>
          <w:color w:val="auto"/>
          <w:kern w:val="2"/>
          <w:sz w:val="21"/>
          <w:szCs w:val="21"/>
          <w:highlight w:val="none"/>
          <w:u w:val="single"/>
          <w:lang w:val="en-US" w:eastAsia="zh-CN" w:bidi="ar"/>
        </w:rPr>
        <w:t>施工组织设计和总进度计划的审批权和调整权；人员在岗、工程进度、质量、安全、环保的监督检查权和建议处罚权；工程款的初步审查权；第三方检测的委托权；主要材料的质量否决权；工程量的确认权；工程变更签证的审核权；可调价格材料的价格确认权；工程结算的审核权；合同的解释；等等。</w:t>
      </w:r>
    </w:p>
    <w:p w14:paraId="561C144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2.4 施工现场、施工条件和基础资料的提供</w:t>
      </w:r>
    </w:p>
    <w:p w14:paraId="7F17E94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2.4.1 提供施工现场</w:t>
      </w:r>
    </w:p>
    <w:p w14:paraId="0192963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关于发包人移交施工现场的期限要求：</w:t>
      </w:r>
      <w:r>
        <w:rPr>
          <w:rFonts w:hint="eastAsia" w:ascii="宋体" w:hAnsi="宋体" w:eastAsia="宋体" w:cs="宋体"/>
          <w:color w:val="auto"/>
          <w:kern w:val="2"/>
          <w:sz w:val="21"/>
          <w:szCs w:val="21"/>
          <w:highlight w:val="none"/>
          <w:u w:val="single"/>
          <w:lang w:val="en-US" w:eastAsia="zh-CN" w:bidi="ar"/>
        </w:rPr>
        <w:t>发包人应最迟于开工日期7天前向承包人移交施工现场。</w:t>
      </w:r>
    </w:p>
    <w:p w14:paraId="0207E11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2.4.2 提供施工条件</w:t>
      </w:r>
    </w:p>
    <w:p w14:paraId="08858A4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关于发包人应负责提供施工所需要的条件，包括：</w:t>
      </w:r>
      <w:r>
        <w:rPr>
          <w:rFonts w:hint="eastAsia" w:ascii="宋体" w:hAnsi="宋体" w:eastAsia="宋体" w:cs="宋体"/>
          <w:color w:val="auto"/>
          <w:kern w:val="2"/>
          <w:sz w:val="21"/>
          <w:szCs w:val="21"/>
          <w:highlight w:val="none"/>
          <w:u w:val="single"/>
          <w:lang w:val="en-US" w:eastAsia="zh-CN" w:bidi="ar"/>
        </w:rPr>
        <w:t>（1）将施工用水、电力、通讯线路等施工所必需的条件接至施工现场内；（2）保证向承包人提供正常施工所需要的进入施工现场的交通条件；（3）协调处理施工现场周围地下管线和邻近建筑物、构筑物、古树名木的保护工作，并承担相关费用。若上述费用已包含在本项目发包范围，则由承包人自行解决并承担费用。</w:t>
      </w:r>
    </w:p>
    <w:p w14:paraId="2A40BD4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2.5 资金来源证明及支付担保</w:t>
      </w:r>
    </w:p>
    <w:p w14:paraId="530264E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发包人提供资金来源证明的期限要求：</w:t>
      </w:r>
      <w:r>
        <w:rPr>
          <w:rFonts w:hint="eastAsia" w:ascii="宋体" w:hAnsi="宋体" w:eastAsia="宋体" w:cs="宋体"/>
          <w:color w:val="auto"/>
          <w:kern w:val="2"/>
          <w:sz w:val="21"/>
          <w:szCs w:val="21"/>
          <w:highlight w:val="none"/>
          <w:u w:val="single"/>
          <w:lang w:val="en-US" w:eastAsia="zh-CN" w:bidi="ar"/>
        </w:rPr>
        <w:t xml:space="preserve">自筹资金，不需提供   </w:t>
      </w:r>
      <w:r>
        <w:rPr>
          <w:rFonts w:hint="eastAsia" w:ascii="宋体" w:hAnsi="宋体" w:eastAsia="宋体" w:cs="宋体"/>
          <w:color w:val="auto"/>
          <w:kern w:val="2"/>
          <w:sz w:val="21"/>
          <w:szCs w:val="21"/>
          <w:highlight w:val="none"/>
          <w:lang w:val="en-US" w:eastAsia="zh-CN" w:bidi="ar"/>
        </w:rPr>
        <w:t>。</w:t>
      </w:r>
    </w:p>
    <w:p w14:paraId="0D187E4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发包人是否提供支付担保：</w:t>
      </w:r>
      <w:r>
        <w:rPr>
          <w:rFonts w:hint="eastAsia" w:ascii="宋体" w:hAnsi="宋体" w:eastAsia="宋体" w:cs="宋体"/>
          <w:color w:val="auto"/>
          <w:kern w:val="2"/>
          <w:sz w:val="21"/>
          <w:szCs w:val="21"/>
          <w:highlight w:val="none"/>
          <w:u w:val="single"/>
          <w:lang w:val="en-US" w:eastAsia="zh-CN" w:bidi="ar"/>
        </w:rPr>
        <w:t xml:space="preserve">不提供   </w:t>
      </w:r>
      <w:r>
        <w:rPr>
          <w:rFonts w:hint="eastAsia" w:ascii="宋体" w:hAnsi="宋体" w:eastAsia="宋体" w:cs="宋体"/>
          <w:color w:val="auto"/>
          <w:kern w:val="2"/>
          <w:sz w:val="21"/>
          <w:szCs w:val="21"/>
          <w:highlight w:val="none"/>
          <w:lang w:val="en-US" w:eastAsia="zh-CN" w:bidi="ar"/>
        </w:rPr>
        <w:t>。</w:t>
      </w:r>
    </w:p>
    <w:p w14:paraId="6DF308F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发包人提供支付担保的形式：</w:t>
      </w:r>
      <w:r>
        <w:rPr>
          <w:rFonts w:hint="eastAsia" w:ascii="宋体" w:hAnsi="宋体" w:eastAsia="宋体" w:cs="宋体"/>
          <w:color w:val="auto"/>
          <w:kern w:val="2"/>
          <w:sz w:val="21"/>
          <w:szCs w:val="21"/>
          <w:highlight w:val="none"/>
          <w:u w:val="single"/>
          <w:lang w:val="en-US" w:eastAsia="zh-CN" w:bidi="ar"/>
        </w:rPr>
        <w:t>无  </w:t>
      </w:r>
      <w:r>
        <w:rPr>
          <w:rFonts w:hint="eastAsia" w:ascii="宋体" w:hAnsi="宋体" w:eastAsia="宋体" w:cs="宋体"/>
          <w:color w:val="auto"/>
          <w:kern w:val="2"/>
          <w:sz w:val="21"/>
          <w:szCs w:val="21"/>
          <w:highlight w:val="none"/>
          <w:lang w:val="en-US" w:eastAsia="zh-CN" w:bidi="ar"/>
        </w:rPr>
        <w:t>。</w:t>
      </w:r>
    </w:p>
    <w:p w14:paraId="71ADC087">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3. 承包人</w:t>
      </w:r>
    </w:p>
    <w:p w14:paraId="5501D85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3.1 承包人的一般义务</w:t>
      </w:r>
    </w:p>
    <w:p w14:paraId="596D922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（9）</w:t>
      </w:r>
      <w:r>
        <w:rPr>
          <w:rFonts w:hint="eastAsia" w:ascii="宋体" w:hAnsi="宋体" w:eastAsia="宋体" w:cs="宋体"/>
          <w:color w:val="auto"/>
          <w:kern w:val="2"/>
          <w:sz w:val="21"/>
          <w:szCs w:val="21"/>
          <w:highlight w:val="none"/>
          <w:lang w:val="en-US" w:eastAsia="zh-CN" w:bidi="ar"/>
        </w:rPr>
        <w:t>承包人提交的竣工资料的内容：</w:t>
      </w:r>
      <w:r>
        <w:rPr>
          <w:rFonts w:hint="eastAsia" w:ascii="宋体" w:hAnsi="宋体" w:eastAsia="宋体" w:cs="宋体"/>
          <w:color w:val="auto"/>
          <w:kern w:val="2"/>
          <w:sz w:val="21"/>
          <w:szCs w:val="21"/>
          <w:highlight w:val="none"/>
          <w:u w:val="single"/>
          <w:lang w:val="en-US" w:eastAsia="zh-CN" w:bidi="ar"/>
        </w:rPr>
        <w:t xml:space="preserve">   按相关要求执行，包括但不限于竣工图、竣工报告、项目质检资料、结算资料等  </w:t>
      </w:r>
      <w:r>
        <w:rPr>
          <w:rFonts w:hint="eastAsia" w:ascii="宋体" w:hAnsi="宋体" w:eastAsia="宋体" w:cs="宋体"/>
          <w:color w:val="auto"/>
          <w:kern w:val="2"/>
          <w:sz w:val="21"/>
          <w:szCs w:val="21"/>
          <w:highlight w:val="none"/>
          <w:lang w:val="en-US" w:eastAsia="zh-CN" w:bidi="ar"/>
        </w:rPr>
        <w:t>。</w:t>
      </w:r>
    </w:p>
    <w:p w14:paraId="1D56C61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承包人需要提交的竣工资料套数：</w:t>
      </w:r>
      <w:r>
        <w:rPr>
          <w:rFonts w:hint="eastAsia" w:ascii="宋体" w:hAnsi="宋体" w:eastAsia="宋体" w:cs="宋体"/>
          <w:color w:val="auto"/>
          <w:kern w:val="2"/>
          <w:sz w:val="21"/>
          <w:szCs w:val="21"/>
          <w:highlight w:val="none"/>
          <w:u w:val="single"/>
          <w:lang w:val="en-US" w:eastAsia="zh-CN" w:bidi="ar"/>
        </w:rPr>
        <w:t xml:space="preserve">      按相关要求执行，且不少于3套    </w:t>
      </w:r>
      <w:r>
        <w:rPr>
          <w:rFonts w:hint="eastAsia" w:ascii="宋体" w:hAnsi="宋体" w:eastAsia="宋体" w:cs="宋体"/>
          <w:color w:val="auto"/>
          <w:kern w:val="2"/>
          <w:sz w:val="21"/>
          <w:szCs w:val="21"/>
          <w:highlight w:val="none"/>
          <w:lang w:val="en-US" w:eastAsia="zh-CN" w:bidi="ar"/>
        </w:rPr>
        <w:t>。</w:t>
      </w:r>
    </w:p>
    <w:p w14:paraId="748A6DC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承包人提交的竣工资料的费用承担：</w:t>
      </w:r>
      <w:r>
        <w:rPr>
          <w:rFonts w:hint="eastAsia" w:ascii="宋体" w:hAnsi="宋体" w:eastAsia="宋体" w:cs="宋体"/>
          <w:color w:val="auto"/>
          <w:kern w:val="2"/>
          <w:sz w:val="21"/>
          <w:szCs w:val="21"/>
          <w:highlight w:val="none"/>
          <w:u w:val="single"/>
          <w:lang w:val="en-US" w:eastAsia="zh-CN" w:bidi="ar"/>
        </w:rPr>
        <w:t xml:space="preserve">   承包人           </w:t>
      </w:r>
      <w:r>
        <w:rPr>
          <w:rFonts w:hint="eastAsia" w:ascii="宋体" w:hAnsi="宋体" w:eastAsia="宋体" w:cs="宋体"/>
          <w:color w:val="auto"/>
          <w:kern w:val="2"/>
          <w:sz w:val="21"/>
          <w:szCs w:val="21"/>
          <w:highlight w:val="none"/>
          <w:lang w:val="en-US" w:eastAsia="zh-CN" w:bidi="ar"/>
        </w:rPr>
        <w:t>。</w:t>
      </w:r>
    </w:p>
    <w:p w14:paraId="761C6BA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承包人提交的竣工资料移交时间：</w:t>
      </w:r>
      <w:r>
        <w:rPr>
          <w:rFonts w:hint="eastAsia" w:ascii="宋体" w:hAnsi="宋体" w:eastAsia="宋体" w:cs="宋体"/>
          <w:color w:val="auto"/>
          <w:kern w:val="2"/>
          <w:sz w:val="21"/>
          <w:szCs w:val="21"/>
          <w:highlight w:val="none"/>
          <w:u w:val="single"/>
          <w:lang w:val="en-US" w:eastAsia="zh-CN" w:bidi="ar"/>
        </w:rPr>
        <w:t xml:space="preserve">     竣工验收合格后15日内   </w:t>
      </w:r>
      <w:r>
        <w:rPr>
          <w:rFonts w:hint="eastAsia" w:ascii="宋体" w:hAnsi="宋体" w:eastAsia="宋体" w:cs="宋体"/>
          <w:color w:val="auto"/>
          <w:kern w:val="2"/>
          <w:sz w:val="21"/>
          <w:szCs w:val="21"/>
          <w:highlight w:val="none"/>
          <w:lang w:val="en-US" w:eastAsia="zh-CN" w:bidi="ar"/>
        </w:rPr>
        <w:t>。</w:t>
      </w:r>
    </w:p>
    <w:p w14:paraId="7AE8AEC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承包人提交的竣工资料形式要求：</w:t>
      </w:r>
      <w:r>
        <w:rPr>
          <w:rFonts w:hint="eastAsia" w:ascii="宋体" w:hAnsi="宋体" w:eastAsia="宋体" w:cs="宋体"/>
          <w:color w:val="auto"/>
          <w:kern w:val="2"/>
          <w:sz w:val="21"/>
          <w:szCs w:val="21"/>
          <w:highlight w:val="none"/>
          <w:u w:val="single"/>
          <w:lang w:val="en-US" w:eastAsia="zh-CN" w:bidi="ar"/>
        </w:rPr>
        <w:t xml:space="preserve">     纸质及电子形式   </w:t>
      </w:r>
      <w:r>
        <w:rPr>
          <w:rFonts w:hint="eastAsia" w:ascii="宋体" w:hAnsi="宋体" w:eastAsia="宋体" w:cs="宋体"/>
          <w:color w:val="auto"/>
          <w:kern w:val="2"/>
          <w:sz w:val="21"/>
          <w:szCs w:val="21"/>
          <w:highlight w:val="none"/>
          <w:lang w:val="en-US" w:eastAsia="zh-CN" w:bidi="ar"/>
        </w:rPr>
        <w:t>。</w:t>
      </w:r>
    </w:p>
    <w:p w14:paraId="77A019C2">
      <w:pPr>
        <w:keepNext w:val="0"/>
        <w:keepLines w:val="0"/>
        <w:widowControl w:val="0"/>
        <w:numPr>
          <w:ilvl w:val="0"/>
          <w:numId w:val="3"/>
        </w:numPr>
        <w:suppressLineNumbers w:val="0"/>
        <w:spacing w:before="0" w:beforeAutospacing="0" w:after="0" w:afterAutospacing="0" w:line="440" w:lineRule="exact"/>
        <w:ind w:left="0" w:right="0" w:firstLine="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承包人应履行的其他义务：</w:t>
      </w:r>
      <w:r>
        <w:rPr>
          <w:rFonts w:hint="eastAsia" w:ascii="宋体" w:hAnsi="宋体" w:eastAsia="宋体" w:cs="宋体"/>
          <w:color w:val="auto"/>
          <w:kern w:val="2"/>
          <w:sz w:val="21"/>
          <w:szCs w:val="21"/>
          <w:highlight w:val="none"/>
          <w:u w:val="single"/>
          <w:lang w:val="en-US" w:eastAsia="zh-CN" w:bidi="ar"/>
        </w:rPr>
        <w:t>①工程竣工半年(含)内完成竣工结算的；②无合同纠纷等原因拖欠农民工工资、材料款，出现群访及时处理；③质量无缺陷，及时整改到位，处理及时；④施工现场服从调度或工程进度不超过合同工期或按合同期限按时移交的；⑤遵守滁重[2020]53号《关于限制不良建筑市场主体投标的规定》的；⑥月工程量进度及时完成；⑦按规定提供工程资料并及时归档的；⑧须执行我市市住建、公管、人社等相关单位关于项目管理、扬尘治理、大气、农民工工资支付、工程款支付等方面的通知、规定和相关要求。</w:t>
      </w:r>
    </w:p>
    <w:p w14:paraId="5311BC1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3.2 项目经理</w:t>
      </w:r>
    </w:p>
    <w:p w14:paraId="156239F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 xml:space="preserve">3.2.1 </w:t>
      </w:r>
      <w:r>
        <w:rPr>
          <w:rFonts w:hint="eastAsia" w:ascii="宋体" w:hAnsi="宋体" w:eastAsia="宋体" w:cs="宋体"/>
          <w:color w:val="auto"/>
          <w:kern w:val="2"/>
          <w:sz w:val="21"/>
          <w:szCs w:val="21"/>
          <w:highlight w:val="none"/>
          <w:lang w:val="en-US" w:eastAsia="zh-CN" w:bidi="ar"/>
        </w:rPr>
        <w:t>项目经理：</w:t>
      </w:r>
    </w:p>
    <w:p w14:paraId="5910557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    名：</w:t>
      </w:r>
      <w:r>
        <w:rPr>
          <w:rFonts w:hint="eastAsia" w:ascii="宋体" w:hAnsi="宋体" w:eastAsia="宋体" w:cs="宋体"/>
          <w:color w:val="auto"/>
          <w:kern w:val="2"/>
          <w:sz w:val="21"/>
          <w:szCs w:val="21"/>
          <w:highlight w:val="none"/>
          <w:u w:val="single"/>
          <w:lang w:val="en-US" w:eastAsia="zh-CN" w:bidi="ar"/>
        </w:rPr>
        <w:t>         </w:t>
      </w:r>
      <w:r>
        <w:rPr>
          <w:rFonts w:hint="eastAsia" w:ascii="宋体" w:hAnsi="宋体" w:eastAsia="宋体" w:cs="宋体"/>
          <w:color w:val="auto"/>
          <w:kern w:val="2"/>
          <w:sz w:val="21"/>
          <w:szCs w:val="21"/>
          <w:highlight w:val="none"/>
          <w:lang w:val="en-US" w:eastAsia="zh-CN" w:bidi="ar"/>
        </w:rPr>
        <w:t>；</w:t>
      </w:r>
    </w:p>
    <w:p w14:paraId="5F9BEFD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身份证号：</w:t>
      </w:r>
      <w:r>
        <w:rPr>
          <w:rFonts w:hint="eastAsia" w:ascii="宋体" w:hAnsi="宋体" w:eastAsia="宋体" w:cs="宋体"/>
          <w:color w:val="auto"/>
          <w:kern w:val="2"/>
          <w:sz w:val="21"/>
          <w:szCs w:val="21"/>
          <w:highlight w:val="none"/>
          <w:u w:val="single"/>
          <w:lang w:val="en-US" w:eastAsia="zh-CN" w:bidi="ar"/>
        </w:rPr>
        <w:t>         </w:t>
      </w:r>
      <w:r>
        <w:rPr>
          <w:rFonts w:hint="eastAsia" w:ascii="宋体" w:hAnsi="宋体" w:eastAsia="宋体" w:cs="宋体"/>
          <w:color w:val="auto"/>
          <w:kern w:val="2"/>
          <w:sz w:val="21"/>
          <w:szCs w:val="21"/>
          <w:highlight w:val="none"/>
          <w:lang w:val="en-US" w:eastAsia="zh-CN" w:bidi="ar"/>
        </w:rPr>
        <w:t>；</w:t>
      </w:r>
    </w:p>
    <w:p w14:paraId="206E905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建造师执业资格等级：</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679F4B5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建造师注册证书号：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1F2C45E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建造师执业印章号：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60963F9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安全生产考核合格证书号：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29396D9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         </w:t>
      </w:r>
      <w:r>
        <w:rPr>
          <w:rFonts w:hint="eastAsia" w:ascii="宋体" w:hAnsi="宋体" w:eastAsia="宋体" w:cs="宋体"/>
          <w:color w:val="auto"/>
          <w:kern w:val="2"/>
          <w:sz w:val="21"/>
          <w:szCs w:val="21"/>
          <w:highlight w:val="none"/>
          <w:lang w:val="en-US" w:eastAsia="zh-CN" w:bidi="ar"/>
        </w:rPr>
        <w:t>；</w:t>
      </w:r>
    </w:p>
    <w:p w14:paraId="63D2BA3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00A6716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70B1955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承包人对项目负责人（项目经理）的授权范围如下：</w:t>
      </w:r>
      <w:r>
        <w:rPr>
          <w:rFonts w:hint="eastAsia" w:ascii="宋体" w:hAnsi="宋体" w:eastAsia="宋体" w:cs="宋体"/>
          <w:color w:val="auto"/>
          <w:kern w:val="2"/>
          <w:sz w:val="21"/>
          <w:szCs w:val="21"/>
          <w:highlight w:val="none"/>
          <w:u w:val="single"/>
          <w:lang w:val="en-US" w:eastAsia="zh-CN" w:bidi="ar"/>
        </w:rPr>
        <w:t xml:space="preserve">由承包人明确授权范围  </w:t>
      </w:r>
      <w:r>
        <w:rPr>
          <w:rFonts w:hint="eastAsia" w:ascii="宋体" w:hAnsi="宋体" w:eastAsia="宋体" w:cs="宋体"/>
          <w:color w:val="auto"/>
          <w:kern w:val="2"/>
          <w:sz w:val="21"/>
          <w:szCs w:val="21"/>
          <w:highlight w:val="none"/>
          <w:lang w:val="en-US" w:eastAsia="zh-CN" w:bidi="ar"/>
        </w:rPr>
        <w:t>。</w:t>
      </w:r>
    </w:p>
    <w:p w14:paraId="225ABA5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关于项目负责人</w:t>
      </w:r>
      <w:r>
        <w:rPr>
          <w:rFonts w:hint="eastAsia" w:ascii="宋体" w:hAnsi="宋体" w:eastAsia="宋体" w:cs="宋体"/>
          <w:color w:val="auto"/>
          <w:kern w:val="2"/>
          <w:sz w:val="21"/>
          <w:szCs w:val="21"/>
          <w:highlight w:val="none"/>
          <w:lang w:val="en-US" w:eastAsia="zh-CN" w:bidi="ar"/>
        </w:rPr>
        <w:t>（项目经理）</w:t>
      </w:r>
      <w:r>
        <w:rPr>
          <w:rFonts w:hint="eastAsia" w:ascii="宋体" w:hAnsi="宋体" w:eastAsia="宋体" w:cs="宋体"/>
          <w:color w:val="auto"/>
          <w:kern w:val="0"/>
          <w:sz w:val="21"/>
          <w:szCs w:val="21"/>
          <w:highlight w:val="none"/>
          <w:lang w:val="en-US" w:eastAsia="zh-CN" w:bidi="ar"/>
        </w:rPr>
        <w:t>每月在施工现场的时间要求：</w:t>
      </w:r>
      <w:r>
        <w:rPr>
          <w:rFonts w:hint="eastAsia" w:ascii="宋体" w:hAnsi="宋体" w:eastAsia="宋体" w:cs="宋体"/>
          <w:color w:val="auto"/>
          <w:kern w:val="2"/>
          <w:sz w:val="21"/>
          <w:szCs w:val="21"/>
          <w:highlight w:val="none"/>
          <w:u w:val="single"/>
          <w:lang w:val="en-US" w:eastAsia="zh-CN" w:bidi="ar"/>
        </w:rPr>
        <w:t>项目经理每月在岗时间不得少于20天，施工现场其他管理人员每月在岗时间不得少于22天。</w:t>
      </w:r>
    </w:p>
    <w:p w14:paraId="51EBD7A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承包人未提交劳动合同，以及没有为建造师缴纳社会保险证明的违约责任：</w:t>
      </w:r>
      <w:r>
        <w:rPr>
          <w:rFonts w:hint="eastAsia" w:ascii="宋体" w:hAnsi="宋体" w:eastAsia="宋体" w:cs="宋体"/>
          <w:color w:val="auto"/>
          <w:kern w:val="2"/>
          <w:sz w:val="21"/>
          <w:szCs w:val="21"/>
          <w:highlight w:val="none"/>
          <w:u w:val="single"/>
          <w:lang w:val="en-US" w:eastAsia="zh-CN" w:bidi="ar"/>
        </w:rPr>
        <w:t>签订本合同前提供，资格审查时已提供的，不再重复提供</w:t>
      </w:r>
      <w:r>
        <w:rPr>
          <w:rFonts w:hint="eastAsia" w:ascii="宋体" w:hAnsi="宋体" w:eastAsia="宋体" w:cs="宋体"/>
          <w:color w:val="auto"/>
          <w:kern w:val="2"/>
          <w:sz w:val="21"/>
          <w:szCs w:val="21"/>
          <w:highlight w:val="none"/>
          <w:lang w:val="en-US" w:eastAsia="zh-CN" w:bidi="ar"/>
        </w:rPr>
        <w:t>。</w:t>
      </w:r>
    </w:p>
    <w:p w14:paraId="0CFB9F8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项目负责人</w:t>
      </w:r>
      <w:r>
        <w:rPr>
          <w:rFonts w:hint="eastAsia" w:ascii="宋体" w:hAnsi="宋体" w:eastAsia="宋体" w:cs="宋体"/>
          <w:color w:val="auto"/>
          <w:kern w:val="2"/>
          <w:sz w:val="21"/>
          <w:szCs w:val="21"/>
          <w:highlight w:val="none"/>
          <w:lang w:val="en-US" w:eastAsia="zh-CN" w:bidi="ar"/>
        </w:rPr>
        <w:t>（项目经理）</w:t>
      </w:r>
      <w:r>
        <w:rPr>
          <w:rFonts w:hint="eastAsia" w:ascii="宋体" w:hAnsi="宋体" w:eastAsia="宋体" w:cs="宋体"/>
          <w:color w:val="auto"/>
          <w:kern w:val="0"/>
          <w:sz w:val="21"/>
          <w:szCs w:val="21"/>
          <w:highlight w:val="none"/>
          <w:lang w:val="en-US" w:eastAsia="zh-CN" w:bidi="ar"/>
        </w:rPr>
        <w:t>未经批准，擅自离开施工现场的违约责任：</w:t>
      </w:r>
      <w:r>
        <w:rPr>
          <w:rFonts w:hint="eastAsia" w:ascii="宋体" w:hAnsi="宋体" w:eastAsia="宋体" w:cs="宋体"/>
          <w:color w:val="auto"/>
          <w:kern w:val="2"/>
          <w:sz w:val="21"/>
          <w:szCs w:val="21"/>
          <w:highlight w:val="none"/>
          <w:u w:val="single"/>
          <w:lang w:val="en-US" w:eastAsia="zh-CN" w:bidi="ar"/>
        </w:rPr>
        <w:t>未按规定在岗履责的，对项目经理和技术负责人处罚5000元/人·天的违约金，对施工现场其他管理人员处罚1000元/人·天的违约金。项目部关键岗位人员离岗必须向发包人项目组长履行请假手续，若被我处和相关部门日常检查和随机抽查中发现不在岗的，又未履行请假手续的，处罚5000元/人·次的违约金。</w:t>
      </w:r>
    </w:p>
    <w:p w14:paraId="4ABFFBF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3.2.3 承包人擅自更换项目负责人（项目经理）的违约责任：</w:t>
      </w:r>
      <w:r>
        <w:rPr>
          <w:rFonts w:hint="eastAsia" w:ascii="宋体" w:hAnsi="宋体" w:eastAsia="宋体" w:cs="宋体"/>
          <w:color w:val="auto"/>
          <w:kern w:val="2"/>
          <w:sz w:val="21"/>
          <w:szCs w:val="21"/>
          <w:highlight w:val="none"/>
          <w:u w:val="single"/>
          <w:lang w:val="en-US" w:eastAsia="zh-CN" w:bidi="ar"/>
        </w:rPr>
        <w:t>项目负责人变更必须经发包人批准，并满足《关于进一步加强建筑施工现场项目负责人变更行为管理的通知》及滁州市其他相关规定要求，除①项目经理因长期疾病、长期出国、辞职或者调离原工作企业不能履行职责（长期是指时间在3个月以上）；②项目经理因行政处罚、涉嫌犯罪或犯罪被羁押或判刑的；③项目经理无能力履行合同的责任和义务，建设单位要求变更的；④非因施工单位责任，合同签订之日起三个月不能开工，或开工后长期停工超合同竣工时间半年以上仍未完成主体工程的；⑤项目经理死亡的；⑥其他法定原因外。上述变更须提供相关证明，疾病须提供三甲及以上医院证明。出国、辞职等原因提出变更的，除需提供相关证明外，须缴纳10万元违约金；项目经理无能力履行合同的责任和义务，建设单位要求变更的，须缴纳20万元违约金，否则不得变更。变更后的项目经理（建造师）必须符合本项目招标文件和投标承诺配备的同等条件人员，并按照滁州市有关规定履行变更审批程序。</w:t>
      </w:r>
    </w:p>
    <w:p w14:paraId="1CDA1BD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3.2.4 承包人无正当理由拒绝更换项目经理的违约责任：</w:t>
      </w:r>
      <w:r>
        <w:rPr>
          <w:rFonts w:hint="eastAsia" w:ascii="宋体" w:hAnsi="宋体" w:eastAsia="宋体" w:cs="宋体"/>
          <w:color w:val="auto"/>
          <w:kern w:val="2"/>
          <w:sz w:val="21"/>
          <w:szCs w:val="21"/>
          <w:highlight w:val="none"/>
          <w:u w:val="single"/>
          <w:lang w:val="en-US" w:eastAsia="zh-CN" w:bidi="ar"/>
        </w:rPr>
        <w:t>发包人将组织对项目经理进行业务能力考核，对未按投标文件配备或经考核不合格要求更换人员的，承包人7日内必须整改调整到位。否则，对于项目经理和技术负责人，按照5000元/人•天的违约金进行处罚，对于施工现场其他管理人员按照1000元/人•天的违约金进行处罚。28日内未整改调整到位的，发包人有权终止合同，并提请相关行政主管部门对企业和人员进行“黑名单”处罚。</w:t>
      </w:r>
    </w:p>
    <w:p w14:paraId="300AC73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3.3 承包人人员</w:t>
      </w:r>
    </w:p>
    <w:p w14:paraId="17A0731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3.3.1 承包人提交项目管理机构及施工现场管理人员安排报告的期限：</w:t>
      </w:r>
      <w:r>
        <w:rPr>
          <w:rFonts w:hint="eastAsia" w:ascii="宋体" w:hAnsi="宋体" w:eastAsia="宋体" w:cs="宋体"/>
          <w:color w:val="auto"/>
          <w:kern w:val="2"/>
          <w:sz w:val="21"/>
          <w:szCs w:val="21"/>
          <w:highlight w:val="none"/>
          <w:u w:val="single"/>
          <w:lang w:val="en-US" w:eastAsia="zh-CN" w:bidi="ar"/>
        </w:rPr>
        <w:t>承包人应在合同签订后7日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5193056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3.3.3 承包人无正当理由拒绝撤换主要施工管理人员的违约责任：</w:t>
      </w:r>
      <w:r>
        <w:rPr>
          <w:rFonts w:hint="eastAsia" w:ascii="宋体" w:hAnsi="宋体" w:eastAsia="宋体" w:cs="宋体"/>
          <w:color w:val="auto"/>
          <w:kern w:val="2"/>
          <w:sz w:val="21"/>
          <w:szCs w:val="21"/>
          <w:highlight w:val="none"/>
          <w:u w:val="single"/>
          <w:lang w:val="en-US" w:eastAsia="zh-CN" w:bidi="ar"/>
        </w:rPr>
        <w:t xml:space="preserve"> 发包人将组织对人员进行业务能力考核，对未按响应文件配备或经考核不合格要求更换人员的，承包人7日内必须整改调整到位。否则，对于项目经理和技术负责人，按照5000元/人·天的违约金进行处罚，对于施工现场其他管理人员按照1000元/人·天的违约金进行处罚。28日内未整改调整到位的，发包人有权终止合同，并提请相关行政主管部门对企业和人员进行“黑名单”处罚。</w:t>
      </w:r>
    </w:p>
    <w:p w14:paraId="78834CE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3.3.4 承包人主要施工管理人员离开施工现场的批准要求：</w:t>
      </w:r>
      <w:r>
        <w:rPr>
          <w:rFonts w:hint="eastAsia" w:ascii="宋体" w:hAnsi="宋体" w:eastAsia="宋体" w:cs="宋体"/>
          <w:color w:val="auto"/>
          <w:kern w:val="2"/>
          <w:sz w:val="21"/>
          <w:szCs w:val="21"/>
          <w:highlight w:val="none"/>
          <w:u w:val="single"/>
          <w:lang w:val="en-US" w:eastAsia="zh-CN" w:bidi="ar"/>
        </w:rPr>
        <w:t>未按规定在岗履责的，对项目经理和技术负责人处罚5000元/人·天的违约金，对施工现场其他管理人员处罚1000元/人·天的违约金。项目部关键岗位人员离岗必须向发包人项目组长履行请假手续，若被我处和相关部门日常检查和随机抽查中发现不在岗的，又未履行请假手续的，处罚5000元/人·次的违约金。</w:t>
      </w:r>
    </w:p>
    <w:p w14:paraId="0833932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3.3.5承包人擅自更换主要施工管理人员的违约责任：按照</w:t>
      </w:r>
      <w:r>
        <w:rPr>
          <w:rFonts w:hint="eastAsia" w:ascii="宋体" w:hAnsi="宋体" w:eastAsia="宋体" w:cs="宋体"/>
          <w:color w:val="auto"/>
          <w:kern w:val="2"/>
          <w:sz w:val="21"/>
          <w:szCs w:val="21"/>
          <w:highlight w:val="none"/>
          <w:u w:val="single"/>
          <w:lang w:val="en-US" w:eastAsia="zh-CN" w:bidi="ar"/>
        </w:rPr>
        <w:t>未按规定在岗履责进行处罚。</w:t>
      </w:r>
    </w:p>
    <w:p w14:paraId="76BED3C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3.5 分包</w:t>
      </w:r>
    </w:p>
    <w:p w14:paraId="69CEE1B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3.5.1 分包的一般约定</w:t>
      </w:r>
    </w:p>
    <w:p w14:paraId="2BB63E3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禁止分包的工程包括：</w:t>
      </w:r>
      <w:r>
        <w:rPr>
          <w:rFonts w:hint="eastAsia" w:ascii="宋体" w:hAnsi="宋体" w:eastAsia="宋体" w:cs="宋体"/>
          <w:color w:val="auto"/>
          <w:kern w:val="2"/>
          <w:sz w:val="21"/>
          <w:szCs w:val="21"/>
          <w:highlight w:val="none"/>
          <w:u w:val="single"/>
          <w:lang w:val="en-US" w:eastAsia="zh-CN" w:bidi="ar"/>
        </w:rPr>
        <w:t>承包人不得将其承包的全部工程转包给第三人，或将其承包的全部工程肢解后以分包的名义转包给第三人。承包人不得将工程主体结构、关键性工作及合同条款中禁止分包的专业工程分包给第三人，主体结构、关键性工作的范围由合同当事人按照法律规定在专用合同条款中予以明确。</w:t>
      </w:r>
    </w:p>
    <w:p w14:paraId="2A2CD4E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主体结构、关键性工作的范围：</w:t>
      </w:r>
      <w:r>
        <w:rPr>
          <w:rFonts w:hint="eastAsia" w:ascii="宋体" w:hAnsi="宋体" w:eastAsia="宋体" w:cs="宋体"/>
          <w:color w:val="auto"/>
          <w:kern w:val="2"/>
          <w:sz w:val="21"/>
          <w:szCs w:val="21"/>
          <w:highlight w:val="none"/>
          <w:u w:val="single"/>
          <w:lang w:val="en-US" w:eastAsia="zh-CN" w:bidi="ar"/>
        </w:rPr>
        <w:t>房建、水利工程为主体结构；市政工程为道路基层、面层；桥梁为主体结构；园林景观工程为绿化采购、栽植、养护；等等</w:t>
      </w:r>
      <w:r>
        <w:rPr>
          <w:rFonts w:hint="eastAsia" w:ascii="宋体" w:hAnsi="宋体" w:eastAsia="宋体" w:cs="宋体"/>
          <w:color w:val="auto"/>
          <w:kern w:val="2"/>
          <w:sz w:val="21"/>
          <w:szCs w:val="21"/>
          <w:highlight w:val="none"/>
          <w:lang w:val="en-US" w:eastAsia="zh-CN" w:bidi="ar"/>
        </w:rPr>
        <w:t>。</w:t>
      </w:r>
    </w:p>
    <w:p w14:paraId="3AEA104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3.5.2分包的确定</w:t>
      </w:r>
    </w:p>
    <w:p w14:paraId="578DD8C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允许分包的专业工程包括：</w:t>
      </w:r>
      <w:r>
        <w:rPr>
          <w:rFonts w:hint="eastAsia" w:ascii="宋体" w:hAnsi="宋体" w:eastAsia="宋体" w:cs="宋体"/>
          <w:color w:val="auto"/>
          <w:kern w:val="2"/>
          <w:sz w:val="21"/>
          <w:szCs w:val="21"/>
          <w:highlight w:val="none"/>
          <w:u w:val="single"/>
          <w:lang w:val="en-US" w:eastAsia="zh-CN" w:bidi="ar"/>
        </w:rPr>
        <w:t>主体结构、关键性工作的范围以外的专业工程。 承包人应按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74BE7D5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其他关于分包的约定：</w:t>
      </w:r>
      <w:r>
        <w:rPr>
          <w:rFonts w:hint="eastAsia" w:ascii="宋体" w:hAnsi="宋体" w:eastAsia="宋体" w:cs="宋体"/>
          <w:color w:val="auto"/>
          <w:kern w:val="2"/>
          <w:sz w:val="21"/>
          <w:szCs w:val="21"/>
          <w:highlight w:val="none"/>
          <w:u w:val="single"/>
          <w:lang w:val="en-US" w:eastAsia="zh-CN" w:bidi="ar"/>
        </w:rPr>
        <w:t xml:space="preserve"> 承包人不得以劳务分包的名义转包或违法分包工程。</w:t>
      </w:r>
      <w:r>
        <w:rPr>
          <w:rFonts w:hint="eastAsia" w:ascii="宋体" w:hAnsi="宋体" w:eastAsia="宋体" w:cs="宋体"/>
          <w:b/>
          <w:bCs/>
          <w:color w:val="auto"/>
          <w:kern w:val="2"/>
          <w:sz w:val="21"/>
          <w:szCs w:val="21"/>
          <w:highlight w:val="none"/>
          <w:u w:val="single"/>
          <w:lang w:val="en-US" w:eastAsia="zh-CN" w:bidi="ar"/>
        </w:rPr>
        <w:t>发包人一经发现承包人转包、挂靠等行为的，发包人立即解除合同，清退出场。</w:t>
      </w:r>
    </w:p>
    <w:p w14:paraId="2F953F3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3.5.4 分包合同价款</w:t>
      </w:r>
    </w:p>
    <w:p w14:paraId="09EA0BB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关于分包合同价款支付的约定：</w:t>
      </w:r>
      <w:r>
        <w:rPr>
          <w:rFonts w:hint="eastAsia" w:ascii="宋体" w:hAnsi="宋体" w:eastAsia="宋体" w:cs="宋体"/>
          <w:color w:val="auto"/>
          <w:kern w:val="2"/>
          <w:sz w:val="21"/>
          <w:szCs w:val="21"/>
          <w:highlight w:val="none"/>
          <w:u w:val="single"/>
          <w:lang w:val="en-US" w:eastAsia="zh-CN" w:bidi="ar"/>
        </w:rPr>
        <w:t>（1）除本项第（2）目约定的情况外，分包合同价款由承包人与分包人结算，未经承包人同意，发包人不得向分包人支付分包工程价款；（2）生效法律文书要求发包人向分包人支付分包合同价款的，发包人有权从应付承包人工程款中扣除该部分款项</w:t>
      </w:r>
      <w:r>
        <w:rPr>
          <w:rFonts w:hint="eastAsia" w:ascii="宋体" w:hAnsi="宋体" w:eastAsia="宋体" w:cs="宋体"/>
          <w:color w:val="auto"/>
          <w:kern w:val="2"/>
          <w:sz w:val="21"/>
          <w:szCs w:val="21"/>
          <w:highlight w:val="none"/>
          <w:lang w:val="en-US" w:eastAsia="zh-CN" w:bidi="ar"/>
        </w:rPr>
        <w:t>。</w:t>
      </w:r>
    </w:p>
    <w:p w14:paraId="4195CD0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3.6 工程照管与成品、半成品保护</w:t>
      </w:r>
    </w:p>
    <w:p w14:paraId="4B305EE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承包人负责照管工程及工程相关的材料、工程设备的起始时间：</w:t>
      </w:r>
      <w:r>
        <w:rPr>
          <w:rFonts w:hint="eastAsia" w:ascii="宋体" w:hAnsi="宋体" w:eastAsia="宋体" w:cs="宋体"/>
          <w:color w:val="auto"/>
          <w:kern w:val="0"/>
          <w:sz w:val="21"/>
          <w:szCs w:val="21"/>
          <w:highlight w:val="none"/>
          <w:u w:val="single"/>
          <w:lang w:val="en-US" w:eastAsia="zh-CN" w:bidi="ar"/>
        </w:rPr>
        <w:t>（1）自发包人向承包人移交施工现场之日起，承包人应负责照管工程及工程相关的材料、工程设备，直到办理移交手续之日止。（2）在承包人负责照管期间，因承包人原因造成工程、材料、工程设备损坏的，由承包人负责修复或更换，并承担由此增加的费用和（或）延误的工期。（3）对合同内分期完成的成品和半成品，在办理移交手续前，由承包人承担保护责任。因承包人原因造成成品或半成品损坏的，由承包人负责修复或更换，并承担由此增加的费用和（或）延误的工期。</w:t>
      </w:r>
    </w:p>
    <w:p w14:paraId="356E4B36">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3.7 履约担保</w:t>
      </w:r>
    </w:p>
    <w:p w14:paraId="6CEA3673">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承包人是否提供履约担保：</w:t>
      </w:r>
      <w:r>
        <w:rPr>
          <w:rFonts w:hint="eastAsia" w:ascii="宋体" w:hAnsi="宋体" w:eastAsia="宋体" w:cs="宋体"/>
          <w:color w:val="auto"/>
          <w:kern w:val="2"/>
          <w:sz w:val="21"/>
          <w:szCs w:val="21"/>
          <w:highlight w:val="none"/>
          <w:u w:val="single"/>
          <w:lang w:val="en-US" w:eastAsia="zh-CN" w:bidi="ar"/>
        </w:rPr>
        <w:t xml:space="preserve">  是  </w:t>
      </w:r>
      <w:r>
        <w:rPr>
          <w:rFonts w:hint="eastAsia" w:ascii="宋体" w:hAnsi="宋体" w:eastAsia="宋体" w:cs="宋体"/>
          <w:color w:val="auto"/>
          <w:kern w:val="2"/>
          <w:sz w:val="21"/>
          <w:szCs w:val="21"/>
          <w:highlight w:val="none"/>
          <w:lang w:val="en-US" w:eastAsia="zh-CN" w:bidi="ar"/>
        </w:rPr>
        <w:t>。</w:t>
      </w:r>
    </w:p>
    <w:p w14:paraId="3602E8CC">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承包人提供履约担保的形式、金额及期限的：支持银行转账、银行电汇、银行保函、担保机构担保、保证保险使用</w:t>
      </w:r>
    </w:p>
    <w:p w14:paraId="6520A50E">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注：履约保证金的金额：中标合同金额×2％。</w:t>
      </w:r>
    </w:p>
    <w:p w14:paraId="246DAC63">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履约保证金提交期限的要求：签订合同前。 </w:t>
      </w:r>
    </w:p>
    <w:p w14:paraId="700B6F85">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履约保证金退还时限：履约保证金有效期满7日内。</w:t>
      </w:r>
    </w:p>
    <w:p w14:paraId="16E2E591">
      <w:pPr>
        <w:keepNext w:val="0"/>
        <w:keepLines w:val="0"/>
        <w:widowControl w:val="0"/>
        <w:suppressLineNumbers w:val="0"/>
        <w:tabs>
          <w:tab w:val="left" w:pos="77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 监理人</w:t>
      </w:r>
    </w:p>
    <w:p w14:paraId="1FA397E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4.1监理人的一般规定</w:t>
      </w:r>
    </w:p>
    <w:p w14:paraId="21EA9C8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关于监理人的监理内容：</w:t>
      </w:r>
      <w:r>
        <w:rPr>
          <w:rFonts w:hint="eastAsia" w:ascii="宋体" w:hAnsi="宋体" w:eastAsia="宋体" w:cs="宋体"/>
          <w:color w:val="auto"/>
          <w:kern w:val="2"/>
          <w:sz w:val="21"/>
          <w:szCs w:val="21"/>
          <w:highlight w:val="none"/>
          <w:u w:val="single"/>
          <w:lang w:val="en-US" w:eastAsia="zh-CN" w:bidi="ar"/>
        </w:rPr>
        <w:t xml:space="preserve">  详见监理合同 </w:t>
      </w:r>
      <w:r>
        <w:rPr>
          <w:rFonts w:hint="eastAsia" w:ascii="宋体" w:hAnsi="宋体" w:eastAsia="宋体" w:cs="宋体"/>
          <w:color w:val="auto"/>
          <w:kern w:val="2"/>
          <w:sz w:val="21"/>
          <w:szCs w:val="21"/>
          <w:highlight w:val="none"/>
          <w:lang w:val="en-US" w:eastAsia="zh-CN" w:bidi="ar"/>
        </w:rPr>
        <w:t>。</w:t>
      </w:r>
    </w:p>
    <w:p w14:paraId="55F1D92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关于监理人的监理权限：</w:t>
      </w:r>
      <w:r>
        <w:rPr>
          <w:rFonts w:hint="eastAsia" w:ascii="宋体" w:hAnsi="宋体" w:eastAsia="宋体" w:cs="宋体"/>
          <w:color w:val="auto"/>
          <w:kern w:val="2"/>
          <w:sz w:val="21"/>
          <w:szCs w:val="21"/>
          <w:highlight w:val="none"/>
          <w:u w:val="single"/>
          <w:lang w:val="en-US" w:eastAsia="zh-CN" w:bidi="ar"/>
        </w:rPr>
        <w:t xml:space="preserve"> 发布开工令、停工令、复工令权；工程质量的监督权；工程上使用的材料和施工质量检验权、确认权；工程施工进度、安全的检查、监督权、发包人授权的处罚权；工程款支付的审核权；向承包人提出施工组织设计和技术方案的建议权；发包人和承包人间的组织协调的主持权；撤换不合格的工程建设分包单位和项目负责人及有关人员的建议权；分包单位资质及能力的审查权；等等  </w:t>
      </w:r>
      <w:r>
        <w:rPr>
          <w:rFonts w:hint="eastAsia" w:ascii="宋体" w:hAnsi="宋体" w:eastAsia="宋体" w:cs="宋体"/>
          <w:color w:val="auto"/>
          <w:kern w:val="2"/>
          <w:sz w:val="21"/>
          <w:szCs w:val="21"/>
          <w:highlight w:val="none"/>
          <w:lang w:val="en-US" w:eastAsia="zh-CN" w:bidi="ar"/>
        </w:rPr>
        <w:t xml:space="preserve">。 </w:t>
      </w:r>
    </w:p>
    <w:p w14:paraId="452C09B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关于监理人在施工现场的办公场所、生活场所的提供和费用承担的约定：</w:t>
      </w:r>
      <w:r>
        <w:rPr>
          <w:rFonts w:hint="eastAsia" w:ascii="宋体" w:hAnsi="宋体" w:eastAsia="宋体" w:cs="宋体"/>
          <w:color w:val="auto"/>
          <w:kern w:val="2"/>
          <w:sz w:val="21"/>
          <w:szCs w:val="21"/>
          <w:highlight w:val="none"/>
          <w:u w:val="single"/>
          <w:lang w:val="en-US" w:eastAsia="zh-CN" w:bidi="ar"/>
        </w:rPr>
        <w:t>办公场所由承包人提供和承担，生活场所由监理人自行解决和承担 。</w:t>
      </w:r>
    </w:p>
    <w:p w14:paraId="193F19B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4.2 监理人员</w:t>
      </w:r>
    </w:p>
    <w:p w14:paraId="05527C2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总监理工程师：</w:t>
      </w:r>
    </w:p>
    <w:p w14:paraId="12506DD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    名：</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6DA0B31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    务：</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6A6237E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监理工程师执业资格证书号：</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w:t>
      </w:r>
    </w:p>
    <w:p w14:paraId="1377B7E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联系电话：</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7772FC7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2779818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通信地址：</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0A82DEE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关于监理人的其他约定：</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718F6E9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4.4 商定或确定</w:t>
      </w:r>
    </w:p>
    <w:p w14:paraId="2072696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在发包人和承包人不能通过协商达成一致意见时，发包人授权监理人对以下事项进行确定：</w:t>
      </w:r>
    </w:p>
    <w:p w14:paraId="34951BE6">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color w:val="auto"/>
          <w:kern w:val="2"/>
          <w:sz w:val="21"/>
          <w:szCs w:val="21"/>
          <w:highlight w:val="none"/>
          <w:u w:val="single"/>
          <w:lang w:val="en-US" w:eastAsia="zh-CN" w:bidi="ar"/>
        </w:rPr>
        <w:t xml:space="preserve">    施工方案     </w:t>
      </w:r>
      <w:r>
        <w:rPr>
          <w:rFonts w:hint="eastAsia" w:ascii="宋体" w:hAnsi="宋体" w:eastAsia="宋体" w:cs="宋体"/>
          <w:color w:val="auto"/>
          <w:kern w:val="2"/>
          <w:sz w:val="21"/>
          <w:szCs w:val="21"/>
          <w:highlight w:val="none"/>
          <w:lang w:val="en-US" w:eastAsia="zh-CN" w:bidi="ar"/>
        </w:rPr>
        <w:t>；</w:t>
      </w:r>
    </w:p>
    <w:p w14:paraId="2C823B18">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2"/>
          <w:sz w:val="21"/>
          <w:szCs w:val="21"/>
          <w:highlight w:val="none"/>
          <w:u w:val="single"/>
          <w:lang w:val="en-US" w:eastAsia="zh-CN" w:bidi="ar"/>
        </w:rPr>
        <w:t xml:space="preserve">   索赔事项等    </w:t>
      </w:r>
      <w:r>
        <w:rPr>
          <w:rFonts w:hint="eastAsia" w:ascii="宋体" w:hAnsi="宋体" w:eastAsia="宋体" w:cs="宋体"/>
          <w:color w:val="auto"/>
          <w:kern w:val="2"/>
          <w:sz w:val="21"/>
          <w:szCs w:val="21"/>
          <w:highlight w:val="none"/>
          <w:lang w:val="en-US" w:eastAsia="zh-CN" w:bidi="ar"/>
        </w:rPr>
        <w:t>；</w:t>
      </w:r>
    </w:p>
    <w:p w14:paraId="6123DC6B">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5. 工程质量</w:t>
      </w:r>
    </w:p>
    <w:p w14:paraId="638004F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5.1 质量要求</w:t>
      </w:r>
    </w:p>
    <w:p w14:paraId="5807970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5.1.1 特殊质量标准和要求：</w:t>
      </w:r>
      <w:r>
        <w:rPr>
          <w:rFonts w:hint="eastAsia" w:ascii="宋体" w:hAnsi="宋体" w:eastAsia="宋体" w:cs="宋体"/>
          <w:color w:val="auto"/>
          <w:kern w:val="2"/>
          <w:sz w:val="21"/>
          <w:szCs w:val="21"/>
          <w:highlight w:val="none"/>
          <w:u w:val="single"/>
          <w:lang w:val="en-US" w:eastAsia="zh-CN" w:bidi="ar"/>
        </w:rPr>
        <w:t xml:space="preserve"> 工程质量必须达到国家工程施工质量验收 合格 标准。 </w:t>
      </w:r>
    </w:p>
    <w:p w14:paraId="067D079B">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关于工程奖项的约定：</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w:t>
      </w:r>
    </w:p>
    <w:p w14:paraId="4C1B259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5.3 隐蔽工程检查</w:t>
      </w:r>
    </w:p>
    <w:p w14:paraId="37271F1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5.3.1隐蔽工程隐蔽前，承包人应当对工程隐蔽部位进行自检，并经自检确认是否具备覆盖条件。</w:t>
      </w:r>
    </w:p>
    <w:p w14:paraId="5DF219E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5.3.2承包人提前通知监理人隐蔽工程检查的期限的约定：工程隐蔽部位经承包人自检确认具备覆盖条件的，承包人应在共同检查前6小时书面通知监理人检查，通知中应载明隐蔽检查的内容、时间和地点，并应附有自检记录和必要的检查资料。</w:t>
      </w:r>
    </w:p>
    <w:p w14:paraId="4B305A2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387D858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人不能按时进行检查的，应在检查前3小时向承包人提交书面延期要求，但延期不能超过6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47A3157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监理人不能按时进行检查时，应提前</w:t>
      </w:r>
      <w:r>
        <w:rPr>
          <w:rFonts w:hint="eastAsia" w:ascii="宋体" w:hAnsi="宋体" w:eastAsia="宋体" w:cs="宋体"/>
          <w:color w:val="auto"/>
          <w:kern w:val="2"/>
          <w:sz w:val="21"/>
          <w:szCs w:val="21"/>
          <w:highlight w:val="none"/>
          <w:u w:val="single"/>
          <w:lang w:val="en-US" w:eastAsia="zh-CN" w:bidi="ar"/>
        </w:rPr>
        <w:t xml:space="preserve">  3  </w:t>
      </w:r>
      <w:r>
        <w:rPr>
          <w:rFonts w:hint="eastAsia" w:ascii="宋体" w:hAnsi="宋体" w:eastAsia="宋体" w:cs="宋体"/>
          <w:color w:val="auto"/>
          <w:kern w:val="2"/>
          <w:sz w:val="21"/>
          <w:szCs w:val="21"/>
          <w:highlight w:val="none"/>
          <w:lang w:val="en-US" w:eastAsia="zh-CN" w:bidi="ar"/>
        </w:rPr>
        <w:t>小时提交书面延期要求。</w:t>
      </w:r>
    </w:p>
    <w:p w14:paraId="0546B23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关于延期最长不得超过：</w:t>
      </w:r>
      <w:r>
        <w:rPr>
          <w:rFonts w:hint="eastAsia" w:ascii="宋体" w:hAnsi="宋体" w:eastAsia="宋体" w:cs="宋体"/>
          <w:color w:val="auto"/>
          <w:kern w:val="2"/>
          <w:sz w:val="21"/>
          <w:szCs w:val="21"/>
          <w:highlight w:val="none"/>
          <w:u w:val="single"/>
          <w:lang w:val="en-US" w:eastAsia="zh-CN" w:bidi="ar"/>
        </w:rPr>
        <w:t xml:space="preserve">  6  </w:t>
      </w:r>
      <w:r>
        <w:rPr>
          <w:rFonts w:hint="eastAsia" w:ascii="宋体" w:hAnsi="宋体" w:eastAsia="宋体" w:cs="宋体"/>
          <w:color w:val="auto"/>
          <w:kern w:val="2"/>
          <w:sz w:val="21"/>
          <w:szCs w:val="21"/>
          <w:highlight w:val="none"/>
          <w:lang w:val="en-US" w:eastAsia="zh-CN" w:bidi="ar"/>
        </w:rPr>
        <w:t>小时。</w:t>
      </w:r>
    </w:p>
    <w:p w14:paraId="6D9D091A">
      <w:pPr>
        <w:pStyle w:val="9"/>
        <w:widowControl/>
        <w:tabs>
          <w:tab w:val="left" w:pos="3315"/>
        </w:tabs>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6. 安全文明施工与环境保护</w:t>
      </w:r>
      <w:r>
        <w:rPr>
          <w:rFonts w:hint="eastAsia" w:ascii="宋体" w:hAnsi="Arial" w:eastAsia="宋体" w:cs="宋体"/>
          <w:b w:val="0"/>
          <w:bCs/>
          <w:color w:val="auto"/>
          <w:kern w:val="2"/>
          <w:sz w:val="21"/>
          <w:szCs w:val="21"/>
          <w:highlight w:val="none"/>
        </w:rPr>
        <w:tab/>
      </w:r>
    </w:p>
    <w:p w14:paraId="2AC2A72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6.1安全文明施工</w:t>
      </w:r>
    </w:p>
    <w:p w14:paraId="0A8E295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6.1.1 项目安全生产的达标目标及相应事项的约定</w:t>
      </w:r>
      <w:r>
        <w:rPr>
          <w:rFonts w:hint="eastAsia" w:ascii="宋体" w:hAnsi="宋体" w:eastAsia="宋体" w:cs="宋体"/>
          <w:color w:val="auto"/>
          <w:kern w:val="2"/>
          <w:sz w:val="21"/>
          <w:szCs w:val="21"/>
          <w:highlight w:val="none"/>
          <w:u w:val="single"/>
          <w:lang w:val="en-US" w:eastAsia="zh-CN" w:bidi="ar"/>
        </w:rPr>
        <w:t xml:space="preserve">  /    。</w:t>
      </w:r>
    </w:p>
    <w:p w14:paraId="5380A97B">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6.1.4 关于治安保卫的特别约定：</w:t>
      </w:r>
      <w:r>
        <w:rPr>
          <w:rFonts w:hint="eastAsia" w:ascii="宋体" w:hAnsi="宋体" w:eastAsia="宋体" w:cs="宋体"/>
          <w:color w:val="auto"/>
          <w:kern w:val="2"/>
          <w:sz w:val="21"/>
          <w:szCs w:val="21"/>
          <w:highlight w:val="none"/>
          <w:u w:val="single"/>
          <w:lang w:val="en-US" w:eastAsia="zh-CN" w:bidi="ar"/>
        </w:rPr>
        <w:t xml:space="preserve"> 由承包人负责。</w:t>
      </w:r>
    </w:p>
    <w:p w14:paraId="012C5AD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关于编制施工场地治安管理计划的约定：</w:t>
      </w:r>
      <w:r>
        <w:rPr>
          <w:rFonts w:hint="eastAsia" w:ascii="宋体" w:hAnsi="宋体" w:eastAsia="宋体" w:cs="宋体"/>
          <w:color w:val="auto"/>
          <w:kern w:val="2"/>
          <w:sz w:val="21"/>
          <w:szCs w:val="21"/>
          <w:highlight w:val="none"/>
          <w:u w:val="single"/>
          <w:lang w:val="en-US" w:eastAsia="zh-CN" w:bidi="ar"/>
        </w:rPr>
        <w:t xml:space="preserve">   由承包人负责       </w:t>
      </w:r>
      <w:r>
        <w:rPr>
          <w:rFonts w:hint="eastAsia" w:ascii="宋体" w:hAnsi="宋体" w:eastAsia="宋体" w:cs="宋体"/>
          <w:color w:val="auto"/>
          <w:kern w:val="2"/>
          <w:sz w:val="21"/>
          <w:szCs w:val="21"/>
          <w:highlight w:val="none"/>
          <w:lang w:val="en-US" w:eastAsia="zh-CN" w:bidi="ar"/>
        </w:rPr>
        <w:t>。</w:t>
      </w:r>
    </w:p>
    <w:p w14:paraId="1E2A1D4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6.1.5 文明施工</w:t>
      </w:r>
    </w:p>
    <w:p w14:paraId="75542C5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合同当事人对文明施工的要求：</w:t>
      </w:r>
      <w:r>
        <w:rPr>
          <w:rFonts w:hint="eastAsia" w:ascii="宋体" w:hAnsi="宋体" w:eastAsia="宋体" w:cs="宋体"/>
          <w:color w:val="auto"/>
          <w:kern w:val="2"/>
          <w:sz w:val="21"/>
          <w:szCs w:val="21"/>
          <w:highlight w:val="none"/>
          <w:u w:val="single"/>
          <w:lang w:val="en-US" w:eastAsia="zh-CN" w:bidi="ar"/>
        </w:rPr>
        <w:t xml:space="preserve"> 承包人必须根据滁州当地政府管理机构及发包人的要求进行安全文明施工并交纳有关费用  </w:t>
      </w:r>
      <w:r>
        <w:rPr>
          <w:rFonts w:hint="eastAsia" w:ascii="宋体" w:hAnsi="宋体" w:eastAsia="宋体" w:cs="宋体"/>
          <w:color w:val="auto"/>
          <w:kern w:val="2"/>
          <w:sz w:val="21"/>
          <w:szCs w:val="21"/>
          <w:highlight w:val="none"/>
          <w:lang w:val="en-US" w:eastAsia="zh-CN" w:bidi="ar"/>
        </w:rPr>
        <w:t>。</w:t>
      </w:r>
    </w:p>
    <w:p w14:paraId="05AB618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6.1.6 关于安全文明施工费支付比例和支付期限的约定：</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w:t>
      </w:r>
    </w:p>
    <w:p w14:paraId="54380C6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6.1.7承包人可以按照《安徽省建筑施工安全质量标准化示范工地申报考核办法》的通知要求申报省级“安全质量标准化示范工地”，费用自理。奖励资金不另行支付，奖励费用包含在承包人的投标报价中。</w:t>
      </w:r>
    </w:p>
    <w:p w14:paraId="5831AB3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6.1.9发生安全事故，承包人应按照有关规定立即上报有关部门并通知工程师，同时按照政府有关要求处理，由事故责任方承担发生的费用。发包人根据事故的分类对承包人进行处以违约：（1）特别重大事故，发包人对承包人处以50万元的人民币违约金；（2）重大事故，发包人对承包人处以30万元的人民币违约金；（3）较大事故，发包人对承包人处以20万元的人民币违约金；（4）一般事故，发包人对承包人处以10万元的人民币违约金；并承担因施工安全事故给本工程建设单位、项目管理单位和监理人带来的经济损失。</w:t>
      </w:r>
    </w:p>
    <w:p w14:paraId="264E4CC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6.1.10发生质量事故，承包人应按照有关规定立即上报有关部门并通知工程师，同时按照政府有关要求处理，由事故责任方承担发生的费用。发包人根据事故的分类对承包人进行处以违约：（1）特别重大质量事故，发包人对承包人处以50万元的人民币违约金；（2）重大质量事故，发包人对承包人处以30万元的人民币违约金；（3）严重质量事故，发包人对承包人处以20万元的人民币违约金；（4）一般质量事故，发包人对承包人处以10万元的人民币违约金；并承担因施工质量事故给本工程建设单位、项目管理单位和监理人带来的经济损失。</w:t>
      </w:r>
    </w:p>
    <w:p w14:paraId="5A4641F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u w:val="single"/>
        </w:rPr>
      </w:pPr>
      <w:r>
        <w:rPr>
          <w:rFonts w:hint="eastAsia" w:ascii="宋体" w:hAnsi="宋体" w:eastAsia="宋体" w:cs="宋体"/>
          <w:bCs/>
          <w:color w:val="auto"/>
          <w:kern w:val="2"/>
          <w:sz w:val="21"/>
          <w:szCs w:val="21"/>
          <w:highlight w:val="none"/>
          <w:lang w:val="en-US" w:eastAsia="zh-CN" w:bidi="ar"/>
        </w:rPr>
        <w:t>6.1.11承包方自行解决进场道路绿化开口协调及费用，所需费用已包含在投标综合单价中，不另计。</w:t>
      </w:r>
    </w:p>
    <w:p w14:paraId="60BB2EE1">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7. 工期和进度</w:t>
      </w:r>
    </w:p>
    <w:p w14:paraId="26B60262">
      <w:pPr>
        <w:keepNext w:val="0"/>
        <w:keepLines w:val="0"/>
        <w:widowControl w:val="0"/>
        <w:suppressLineNumbers w:val="0"/>
        <w:tabs>
          <w:tab w:val="left" w:pos="3240"/>
        </w:tabs>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7.1 施工组织设计</w:t>
      </w:r>
      <w:r>
        <w:rPr>
          <w:rFonts w:hint="eastAsia" w:ascii="宋体" w:hAnsi="宋体" w:eastAsia="宋体" w:cs="宋体"/>
          <w:color w:val="auto"/>
          <w:kern w:val="2"/>
          <w:sz w:val="21"/>
          <w:szCs w:val="21"/>
          <w:highlight w:val="none"/>
          <w:lang w:val="en-US" w:eastAsia="zh-CN" w:bidi="ar"/>
        </w:rPr>
        <w:tab/>
      </w:r>
    </w:p>
    <w:p w14:paraId="24E3A884">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7.1.1 （9）合</w:t>
      </w:r>
      <w:r>
        <w:rPr>
          <w:rFonts w:hint="eastAsia" w:ascii="宋体" w:hAnsi="宋体" w:eastAsia="宋体" w:cs="宋体"/>
          <w:color w:val="auto"/>
          <w:kern w:val="0"/>
          <w:sz w:val="21"/>
          <w:szCs w:val="21"/>
          <w:highlight w:val="none"/>
          <w:lang w:val="en-US" w:eastAsia="zh-CN" w:bidi="ar"/>
        </w:rPr>
        <w:t>同当事人约定的施工组织设计应包括的其他内容：</w:t>
      </w:r>
      <w:r>
        <w:rPr>
          <w:rFonts w:hint="eastAsia" w:ascii="宋体" w:hAnsi="宋体" w:eastAsia="宋体" w:cs="宋体"/>
          <w:color w:val="auto"/>
          <w:kern w:val="2"/>
          <w:sz w:val="21"/>
          <w:szCs w:val="21"/>
          <w:highlight w:val="none"/>
          <w:u w:val="single"/>
          <w:lang w:val="en-US" w:eastAsia="zh-CN" w:bidi="ar"/>
        </w:rPr>
        <w:t xml:space="preserve">  本工程需按照总进度计划编制每月施工进度计划，经监理、发包人审批后作为进度考核和进度款支付的依据  </w:t>
      </w:r>
      <w:r>
        <w:rPr>
          <w:rFonts w:hint="eastAsia" w:ascii="宋体" w:hAnsi="宋体" w:eastAsia="宋体" w:cs="宋体"/>
          <w:color w:val="auto"/>
          <w:kern w:val="2"/>
          <w:sz w:val="21"/>
          <w:szCs w:val="21"/>
          <w:highlight w:val="none"/>
          <w:lang w:val="en-US" w:eastAsia="zh-CN" w:bidi="ar"/>
        </w:rPr>
        <w:t>。</w:t>
      </w:r>
    </w:p>
    <w:p w14:paraId="535A8F3E">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 xml:space="preserve">7.1.2 </w:t>
      </w:r>
      <w:r>
        <w:rPr>
          <w:rFonts w:hint="eastAsia" w:ascii="宋体" w:hAnsi="宋体" w:eastAsia="宋体" w:cs="宋体"/>
          <w:color w:val="auto"/>
          <w:kern w:val="0"/>
          <w:sz w:val="21"/>
          <w:szCs w:val="21"/>
          <w:highlight w:val="none"/>
          <w:lang w:val="en-US" w:eastAsia="zh-CN" w:bidi="ar"/>
        </w:rPr>
        <w:t>施工组织设计的提交和修改</w:t>
      </w:r>
    </w:p>
    <w:p w14:paraId="3C13FD9F">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承包人提交详细施工组织设计的期限的约定：</w:t>
      </w:r>
      <w:r>
        <w:rPr>
          <w:rFonts w:hint="eastAsia" w:ascii="宋体" w:hAnsi="宋体" w:eastAsia="宋体" w:cs="宋体"/>
          <w:color w:val="auto"/>
          <w:kern w:val="2"/>
          <w:sz w:val="21"/>
          <w:szCs w:val="21"/>
          <w:highlight w:val="none"/>
          <w:u w:val="single"/>
          <w:lang w:val="en-US" w:eastAsia="zh-CN" w:bidi="ar"/>
        </w:rPr>
        <w:t xml:space="preserve">图纸会审及设计交底后一周内提供标后实施性施工组织设计 </w:t>
      </w:r>
      <w:r>
        <w:rPr>
          <w:rFonts w:hint="eastAsia" w:ascii="宋体" w:hAnsi="宋体" w:eastAsia="宋体" w:cs="宋体"/>
          <w:color w:val="auto"/>
          <w:kern w:val="2"/>
          <w:sz w:val="21"/>
          <w:szCs w:val="21"/>
          <w:highlight w:val="none"/>
          <w:lang w:val="en-US" w:eastAsia="zh-CN" w:bidi="ar"/>
        </w:rPr>
        <w:t>。</w:t>
      </w:r>
    </w:p>
    <w:p w14:paraId="136EF90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发包人和监理人在收到详细的施工组织设计后确认或提出修改意见的期限：</w:t>
      </w:r>
      <w:r>
        <w:rPr>
          <w:rFonts w:hint="eastAsia" w:ascii="宋体" w:hAnsi="宋体" w:eastAsia="宋体" w:cs="宋体"/>
          <w:color w:val="auto"/>
          <w:kern w:val="2"/>
          <w:sz w:val="21"/>
          <w:szCs w:val="21"/>
          <w:highlight w:val="none"/>
          <w:u w:val="single"/>
          <w:lang w:val="en-US" w:eastAsia="zh-CN" w:bidi="ar"/>
        </w:rPr>
        <w:t>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66D2C7A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7.2 施工进度计划</w:t>
      </w:r>
    </w:p>
    <w:p w14:paraId="4EDBBF2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7.2.2 施工进度计划的修订</w:t>
      </w:r>
    </w:p>
    <w:p w14:paraId="43F11DE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发包人和监理人在收到修订的施工进度计划后确认或提出修改意见的期限：</w:t>
      </w:r>
      <w:r>
        <w:rPr>
          <w:rFonts w:hint="eastAsia" w:ascii="宋体" w:hAnsi="宋体" w:eastAsia="宋体" w:cs="宋体"/>
          <w:color w:val="auto"/>
          <w:kern w:val="2"/>
          <w:sz w:val="21"/>
          <w:szCs w:val="21"/>
          <w:highlight w:val="none"/>
          <w:u w:val="single"/>
          <w:lang w:val="en-US" w:eastAsia="zh-CN" w:bidi="ar"/>
        </w:rPr>
        <w:t>发包人和监理人应在收到修订的施工进度计划后7天内完成审核和批准或提出修改意见。发包人和监理人对承包人提交的施工进度计划的确认，不能减轻或免除承包人根据法律规定和合同约定应承担的任何责任或义务。承包人必须按照批准的进度计划组织施工，接受发包人对进度的检查、监督，工程实际进展与进度计划不符时，应提供修改，调整后的进度计划及相应的措施报发包人批准后执行。</w:t>
      </w:r>
    </w:p>
    <w:p w14:paraId="503705A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7.3 开工</w:t>
      </w:r>
    </w:p>
    <w:p w14:paraId="36C79B6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7.3.1 开工准备</w:t>
      </w:r>
    </w:p>
    <w:p w14:paraId="2DD25D0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关于承包人提交</w:t>
      </w:r>
      <w:r>
        <w:rPr>
          <w:rFonts w:hint="eastAsia" w:ascii="宋体" w:hAnsi="宋体" w:eastAsia="宋体" w:cs="宋体"/>
          <w:color w:val="auto"/>
          <w:kern w:val="0"/>
          <w:sz w:val="21"/>
          <w:szCs w:val="21"/>
          <w:highlight w:val="none"/>
          <w:lang w:val="en-US" w:eastAsia="zh-CN" w:bidi="ar"/>
        </w:rPr>
        <w:t>工程开工报审表的期限：</w:t>
      </w:r>
      <w:r>
        <w:rPr>
          <w:rFonts w:hint="eastAsia" w:ascii="宋体" w:hAnsi="宋体" w:eastAsia="宋体" w:cs="宋体"/>
          <w:color w:val="auto"/>
          <w:kern w:val="2"/>
          <w:sz w:val="21"/>
          <w:szCs w:val="21"/>
          <w:highlight w:val="none"/>
          <w:u w:val="single"/>
          <w:lang w:val="en-US" w:eastAsia="zh-CN" w:bidi="ar"/>
        </w:rPr>
        <w:t xml:space="preserve"> 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67975E8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关于承包人应完成的其他开工准备工作及期限：</w:t>
      </w:r>
      <w:r>
        <w:rPr>
          <w:rFonts w:hint="eastAsia" w:ascii="宋体" w:hAnsi="宋体" w:eastAsia="宋体" w:cs="宋体"/>
          <w:color w:val="auto"/>
          <w:kern w:val="2"/>
          <w:sz w:val="21"/>
          <w:szCs w:val="21"/>
          <w:highlight w:val="none"/>
          <w:u w:val="single"/>
          <w:lang w:val="en-US" w:eastAsia="zh-CN" w:bidi="ar"/>
        </w:rPr>
        <w:t>合同当事人应按约定完成开工准备工作。</w:t>
      </w:r>
    </w:p>
    <w:p w14:paraId="437D683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7.3.2开工通知</w:t>
      </w:r>
    </w:p>
    <w:p w14:paraId="4DCA425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因发包人原因造成监理人未能在计划开工日期之日起</w:t>
      </w:r>
      <w:r>
        <w:rPr>
          <w:rFonts w:hint="eastAsia" w:ascii="宋体" w:hAnsi="宋体" w:eastAsia="宋体" w:cs="宋体"/>
          <w:color w:val="auto"/>
          <w:kern w:val="2"/>
          <w:sz w:val="21"/>
          <w:szCs w:val="21"/>
          <w:highlight w:val="none"/>
          <w:u w:val="single"/>
          <w:lang w:val="en-US" w:eastAsia="zh-CN" w:bidi="ar"/>
        </w:rPr>
        <w:t xml:space="preserve">  90  </w:t>
      </w:r>
      <w:r>
        <w:rPr>
          <w:rFonts w:hint="eastAsia" w:ascii="宋体" w:hAnsi="宋体" w:eastAsia="宋体" w:cs="宋体"/>
          <w:color w:val="auto"/>
          <w:kern w:val="2"/>
          <w:sz w:val="21"/>
          <w:szCs w:val="21"/>
          <w:highlight w:val="none"/>
          <w:lang w:val="en-US" w:eastAsia="zh-CN" w:bidi="ar"/>
        </w:rPr>
        <w:t>天内发出开工通知的，承包人有权提出价格调整要求，或者解除合同。</w:t>
      </w:r>
    </w:p>
    <w:p w14:paraId="0C4E5C7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7.4 测量放线</w:t>
      </w:r>
    </w:p>
    <w:p w14:paraId="3ED9CE0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7.4.1发包人通过监理人向承包人提供测量基准点、基准线和水准点及其书面资料的期限：</w:t>
      </w:r>
      <w:r>
        <w:rPr>
          <w:rFonts w:hint="eastAsia" w:ascii="宋体" w:hAnsi="宋体" w:eastAsia="宋体" w:cs="宋体"/>
          <w:color w:val="auto"/>
          <w:kern w:val="2"/>
          <w:sz w:val="21"/>
          <w:szCs w:val="21"/>
          <w:highlight w:val="none"/>
          <w:u w:val="single"/>
          <w:lang w:val="en-US" w:eastAsia="zh-CN" w:bidi="ar"/>
        </w:rPr>
        <w:t xml:space="preserve"> 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69CA3AB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7.5 工期延误</w:t>
      </w:r>
    </w:p>
    <w:p w14:paraId="34D6304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7.5.1 因发包人原因导致工期延误</w:t>
      </w:r>
    </w:p>
    <w:p w14:paraId="73DBED1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（7）因发包人原因导致工期延误的其他情形：</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 xml:space="preserve">        </w:t>
      </w:r>
    </w:p>
    <w:p w14:paraId="21230DE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7.5.2 因承包人原因导致工期延误</w:t>
      </w:r>
    </w:p>
    <w:p w14:paraId="15D3534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因承包人原因造成工期延误，逾期竣工违约金的计算方法为：</w:t>
      </w:r>
      <w:r>
        <w:rPr>
          <w:rFonts w:hint="eastAsia" w:ascii="宋体" w:hAnsi="宋体" w:eastAsia="宋体" w:cs="宋体"/>
          <w:color w:val="auto"/>
          <w:kern w:val="2"/>
          <w:sz w:val="21"/>
          <w:szCs w:val="21"/>
          <w:highlight w:val="none"/>
          <w:u w:val="single"/>
          <w:lang w:val="en-US" w:eastAsia="zh-CN" w:bidi="ar"/>
        </w:rPr>
        <w:t xml:space="preserve">  因承包方原因造成的工期延误，每推迟一天，按3000元处以违约金；月工程量未完成的当期不得请款，当月未完成的工程量纳入下月一并完成，完不成的仍不予请款，依此类推。连续两个月工程量未完成的立即限制承包人一年内不得参与发包人项目投标。</w:t>
      </w:r>
    </w:p>
    <w:p w14:paraId="6F2FB5E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因承包人原因造成工期延误，逾期竣工违约金的上限：</w:t>
      </w:r>
      <w:r>
        <w:rPr>
          <w:rFonts w:hint="eastAsia" w:ascii="宋体" w:hAnsi="宋体" w:eastAsia="宋体" w:cs="宋体"/>
          <w:color w:val="auto"/>
          <w:kern w:val="2"/>
          <w:sz w:val="21"/>
          <w:szCs w:val="21"/>
          <w:highlight w:val="none"/>
          <w:u w:val="single"/>
          <w:lang w:val="en-US" w:eastAsia="zh-CN" w:bidi="ar"/>
        </w:rPr>
        <w:t xml:space="preserve"> 全额履约保证金 </w:t>
      </w:r>
      <w:r>
        <w:rPr>
          <w:rFonts w:hint="eastAsia" w:ascii="宋体" w:hAnsi="宋体" w:eastAsia="宋体" w:cs="宋体"/>
          <w:color w:val="auto"/>
          <w:kern w:val="2"/>
          <w:sz w:val="21"/>
          <w:szCs w:val="21"/>
          <w:highlight w:val="none"/>
          <w:lang w:val="en-US" w:eastAsia="zh-CN" w:bidi="ar"/>
        </w:rPr>
        <w:t>。</w:t>
      </w:r>
    </w:p>
    <w:p w14:paraId="191AFFC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业主单位根据拖延工期的严重程度采用以下方法处理:</w:t>
      </w:r>
    </w:p>
    <w:p w14:paraId="67F52C7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Cs/>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（1）</w:t>
      </w:r>
      <w:r>
        <w:rPr>
          <w:rFonts w:hint="eastAsia" w:ascii="宋体" w:hAnsi="宋体" w:eastAsia="宋体" w:cs="宋体"/>
          <w:bCs/>
          <w:color w:val="auto"/>
          <w:kern w:val="2"/>
          <w:sz w:val="21"/>
          <w:szCs w:val="21"/>
          <w:highlight w:val="none"/>
          <w:u w:val="single"/>
          <w:lang w:val="en-US" w:eastAsia="zh-CN" w:bidi="ar"/>
        </w:rPr>
        <w:t>督促承包人采取有效的赶工措施（费用自理）；</w:t>
      </w:r>
    </w:p>
    <w:p w14:paraId="62665CC6">
      <w:pPr>
        <w:keepNext w:val="0"/>
        <w:keepLines w:val="0"/>
        <w:widowControl w:val="0"/>
        <w:suppressLineNumbers w:val="0"/>
        <w:snapToGrid w:val="0"/>
        <w:spacing w:before="0" w:beforeAutospacing="0" w:after="0" w:afterAutospacing="0" w:line="400" w:lineRule="exact"/>
        <w:ind w:left="0" w:right="-334" w:rightChars="-159"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（2）</w:t>
      </w:r>
      <w:r>
        <w:rPr>
          <w:rFonts w:hint="eastAsia" w:ascii="宋体" w:hAnsi="宋体" w:eastAsia="宋体" w:cs="宋体"/>
          <w:color w:val="auto"/>
          <w:kern w:val="2"/>
          <w:position w:val="6"/>
          <w:sz w:val="21"/>
          <w:szCs w:val="21"/>
          <w:highlight w:val="none"/>
          <w:u w:val="single"/>
          <w:lang w:val="en-US" w:eastAsia="zh-CN" w:bidi="ar"/>
        </w:rPr>
        <w:t>发包人根据本项目总体施工计划对工程各分部分项工程的进度目标确定之后</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承包人应采取各种措施确保本合同内各分部分项工程进度目标的实现</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如果在工程实施某个分部分项工程，承包人的实际进度滞后该分部分项工程进度目标7天以上</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并无法确保该分部分项工程进度目标的完成或承包人虽采取了一些措施，但仍无法按交工期交工时</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监理工程师应立即通知发包人，并抄送承包人。发包人向承包人发出书面警告通知3天后</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发包人有权终止合同，也可将本合同工程中的一部分或剩余工作交由其他承包人或指定分包人完成</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position w:val="6"/>
          <w:sz w:val="21"/>
          <w:szCs w:val="21"/>
          <w:highlight w:val="none"/>
          <w:u w:val="single"/>
          <w:lang w:val="en-US" w:eastAsia="zh-CN" w:bidi="ar"/>
        </w:rPr>
        <w:t>因此所增加的一切费用由原承包人承担</w:t>
      </w:r>
      <w:r>
        <w:rPr>
          <w:rFonts w:hint="eastAsia" w:ascii="宋体" w:hAnsi="宋体" w:eastAsia="宋体" w:cs="宋体"/>
          <w:color w:val="auto"/>
          <w:kern w:val="2"/>
          <w:sz w:val="21"/>
          <w:szCs w:val="21"/>
          <w:highlight w:val="none"/>
          <w:u w:val="single"/>
          <w:lang w:val="en-US" w:eastAsia="zh-CN" w:bidi="ar"/>
        </w:rPr>
        <w:t>。</w:t>
      </w:r>
    </w:p>
    <w:p w14:paraId="20A17B4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（3）</w:t>
      </w:r>
      <w:r>
        <w:rPr>
          <w:rFonts w:hint="eastAsia" w:ascii="宋体" w:hAnsi="宋体" w:eastAsia="宋体" w:cs="宋体"/>
          <w:bCs/>
          <w:color w:val="auto"/>
          <w:kern w:val="2"/>
          <w:sz w:val="21"/>
          <w:szCs w:val="21"/>
          <w:highlight w:val="none"/>
          <w:u w:val="single"/>
          <w:lang w:val="en-US" w:eastAsia="zh-CN" w:bidi="ar"/>
        </w:rPr>
        <w:t xml:space="preserve">对严重拖延工期，经发包人多次督促，承包人拒不执行的，发包人可中止施工合同，并和承包人进行清算。同时按原中标价格另选同样资质的施工队伍进场施工，原承包人须无条件配合，不得以任何借口阻挠另选的施工队伍施工，不得向发包人提出任何索赔要求，详见补充条款。  </w:t>
      </w:r>
    </w:p>
    <w:p w14:paraId="24938CA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7.6 不利物质条件</w:t>
      </w:r>
    </w:p>
    <w:p w14:paraId="7CDC3B9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不利物质条件的其他情形和有关约定：</w:t>
      </w:r>
      <w:r>
        <w:rPr>
          <w:rFonts w:hint="eastAsia" w:ascii="宋体" w:hAnsi="宋体" w:eastAsia="宋体" w:cs="宋体"/>
          <w:color w:val="auto"/>
          <w:kern w:val="2"/>
          <w:sz w:val="21"/>
          <w:szCs w:val="21"/>
          <w:highlight w:val="none"/>
          <w:u w:val="single"/>
          <w:lang w:val="en-US" w:eastAsia="zh-CN" w:bidi="ar"/>
        </w:rPr>
        <w:t xml:space="preserve"> 无  。</w:t>
      </w:r>
    </w:p>
    <w:p w14:paraId="5927BF9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7.7异常恶劣的气候条件</w:t>
      </w:r>
    </w:p>
    <w:p w14:paraId="7B0A5AC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发包人和承包人同意以下情形视为异常恶劣的气候条件：</w:t>
      </w:r>
    </w:p>
    <w:p w14:paraId="3358023E">
      <w:pPr>
        <w:keepNext w:val="0"/>
        <w:keepLines w:val="0"/>
        <w:widowControl w:val="0"/>
        <w:numPr>
          <w:ilvl w:val="0"/>
          <w:numId w:val="4"/>
        </w:numPr>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1A8B2EC3">
      <w:pPr>
        <w:keepNext w:val="0"/>
        <w:keepLines w:val="0"/>
        <w:widowControl w:val="0"/>
        <w:numPr>
          <w:ilvl w:val="0"/>
          <w:numId w:val="4"/>
        </w:numPr>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594904E4">
      <w:pPr>
        <w:keepNext w:val="0"/>
        <w:keepLines w:val="0"/>
        <w:widowControl w:val="0"/>
        <w:numPr>
          <w:ilvl w:val="0"/>
          <w:numId w:val="4"/>
        </w:numPr>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7C1EA08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7.9 提前竣工的奖励</w:t>
      </w:r>
    </w:p>
    <w:p w14:paraId="296BAB9B">
      <w:pPr>
        <w:pStyle w:val="42"/>
        <w:keepNext w:val="0"/>
        <w:keepLines w:val="0"/>
        <w:widowControl w:val="0"/>
        <w:suppressLineNumbers w:val="0"/>
        <w:spacing w:before="0" w:beforeAutospacing="1" w:after="0" w:afterAutospacing="0" w:line="440" w:lineRule="exact"/>
        <w:ind w:left="0" w:leftChars="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7.9.2提前竣工的奖励：</w:t>
      </w:r>
      <w:r>
        <w:rPr>
          <w:rFonts w:hint="eastAsia" w:ascii="宋体" w:hAnsi="宋体" w:eastAsia="宋体" w:cs="宋体"/>
          <w:color w:val="auto"/>
          <w:kern w:val="2"/>
          <w:sz w:val="21"/>
          <w:szCs w:val="21"/>
          <w:highlight w:val="none"/>
          <w:u w:val="single"/>
          <w:lang w:val="en-US" w:eastAsia="zh-CN" w:bidi="ar"/>
        </w:rPr>
        <w:t xml:space="preserve"> 由发包人根据提前竣工天数，结合项目考勤、质量、安全等实际情况综合考虑     </w:t>
      </w:r>
      <w:r>
        <w:rPr>
          <w:rFonts w:hint="eastAsia" w:ascii="宋体" w:hAnsi="宋体" w:eastAsia="宋体" w:cs="宋体"/>
          <w:color w:val="auto"/>
          <w:kern w:val="2"/>
          <w:sz w:val="21"/>
          <w:szCs w:val="21"/>
          <w:highlight w:val="none"/>
          <w:lang w:val="en-US" w:eastAsia="zh-CN" w:bidi="ar"/>
        </w:rPr>
        <w:t>。</w:t>
      </w:r>
    </w:p>
    <w:p w14:paraId="38BAD3C9">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8. 材料与设备</w:t>
      </w:r>
    </w:p>
    <w:p w14:paraId="7AB7526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8.4材料与工程设备的保管与使用</w:t>
      </w:r>
    </w:p>
    <w:p w14:paraId="79F8E61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8.4.1发包人供应的材料设备的保管费用的承担：</w:t>
      </w:r>
      <w:r>
        <w:rPr>
          <w:rFonts w:hint="eastAsia" w:ascii="宋体" w:hAnsi="宋体" w:eastAsia="宋体" w:cs="宋体"/>
          <w:color w:val="auto"/>
          <w:kern w:val="2"/>
          <w:sz w:val="21"/>
          <w:szCs w:val="21"/>
          <w:highlight w:val="none"/>
          <w:u w:val="single"/>
          <w:lang w:val="en-US" w:eastAsia="zh-CN" w:bidi="ar"/>
        </w:rPr>
        <w:t xml:space="preserve">   /。</w:t>
      </w:r>
    </w:p>
    <w:p w14:paraId="2826934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8.6 样品</w:t>
      </w:r>
    </w:p>
    <w:p w14:paraId="3591B094">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8.6.1样品的报送与封存</w:t>
      </w:r>
    </w:p>
    <w:p w14:paraId="7AE55CF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需要承包人报送样品的材料或工程设备，样品的种类、名称、规格、数量要求：</w:t>
      </w:r>
      <w:r>
        <w:rPr>
          <w:rFonts w:hint="eastAsia" w:ascii="宋体" w:hAnsi="宋体" w:eastAsia="宋体" w:cs="宋体"/>
          <w:color w:val="auto"/>
          <w:kern w:val="2"/>
          <w:sz w:val="21"/>
          <w:szCs w:val="21"/>
          <w:highlight w:val="none"/>
          <w:u w:val="single"/>
          <w:lang w:val="en-US" w:eastAsia="zh-CN" w:bidi="ar"/>
        </w:rPr>
        <w:t xml:space="preserve"> 执行招标文件。 </w:t>
      </w:r>
    </w:p>
    <w:p w14:paraId="2ABCF6A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8.8 施工设备和临时设施</w:t>
      </w:r>
    </w:p>
    <w:p w14:paraId="1B0DCF08">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8.8.1 承包人提供的施工设备和临时设施</w:t>
      </w:r>
    </w:p>
    <w:p w14:paraId="1D5EBFF8">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关于修建临时设施费用承担的约定：</w:t>
      </w:r>
      <w:r>
        <w:rPr>
          <w:rFonts w:hint="eastAsia" w:ascii="宋体" w:hAnsi="宋体" w:eastAsia="宋体" w:cs="宋体"/>
          <w:color w:val="auto"/>
          <w:kern w:val="2"/>
          <w:sz w:val="21"/>
          <w:szCs w:val="21"/>
          <w:highlight w:val="none"/>
          <w:u w:val="single"/>
          <w:lang w:val="en-US" w:eastAsia="zh-CN" w:bidi="ar"/>
        </w:rPr>
        <w:t xml:space="preserve">  由承包人自行承担费用   </w:t>
      </w:r>
      <w:r>
        <w:rPr>
          <w:rFonts w:hint="eastAsia" w:ascii="宋体" w:hAnsi="宋体" w:eastAsia="宋体" w:cs="宋体"/>
          <w:color w:val="auto"/>
          <w:kern w:val="2"/>
          <w:sz w:val="21"/>
          <w:szCs w:val="21"/>
          <w:highlight w:val="none"/>
          <w:lang w:val="en-US" w:eastAsia="zh-CN" w:bidi="ar"/>
        </w:rPr>
        <w:t>。</w:t>
      </w:r>
    </w:p>
    <w:p w14:paraId="3E11C3C1">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9. 试验与检验</w:t>
      </w:r>
    </w:p>
    <w:p w14:paraId="29FC34C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9.1试验设备与试验人员</w:t>
      </w:r>
    </w:p>
    <w:p w14:paraId="1CF3D30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9.1.2 试验设备</w:t>
      </w:r>
    </w:p>
    <w:p w14:paraId="7707A37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施工现场需要配置的试验场所：</w:t>
      </w:r>
      <w:r>
        <w:rPr>
          <w:rFonts w:hint="eastAsia" w:ascii="宋体" w:hAnsi="宋体" w:eastAsia="宋体" w:cs="宋体"/>
          <w:color w:val="auto"/>
          <w:kern w:val="2"/>
          <w:sz w:val="21"/>
          <w:szCs w:val="21"/>
          <w:highlight w:val="none"/>
          <w:u w:val="single"/>
          <w:lang w:val="en-US" w:eastAsia="zh-CN" w:bidi="ar"/>
        </w:rPr>
        <w:t xml:space="preserve">   执行招标文件   </w:t>
      </w:r>
      <w:r>
        <w:rPr>
          <w:rFonts w:hint="eastAsia" w:ascii="宋体" w:hAnsi="宋体" w:eastAsia="宋体" w:cs="宋体"/>
          <w:color w:val="auto"/>
          <w:kern w:val="2"/>
          <w:sz w:val="21"/>
          <w:szCs w:val="21"/>
          <w:highlight w:val="none"/>
          <w:lang w:val="en-US" w:eastAsia="zh-CN" w:bidi="ar"/>
        </w:rPr>
        <w:t xml:space="preserve">。 </w:t>
      </w:r>
    </w:p>
    <w:p w14:paraId="5FBF9FA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施工现场需要配备的试验设备：</w:t>
      </w:r>
      <w:r>
        <w:rPr>
          <w:rFonts w:hint="eastAsia" w:ascii="宋体" w:hAnsi="宋体" w:eastAsia="宋体" w:cs="宋体"/>
          <w:color w:val="auto"/>
          <w:kern w:val="2"/>
          <w:sz w:val="21"/>
          <w:szCs w:val="21"/>
          <w:highlight w:val="none"/>
          <w:u w:val="single"/>
          <w:lang w:val="en-US" w:eastAsia="zh-CN" w:bidi="ar"/>
        </w:rPr>
        <w:t xml:space="preserve">   执行招标文件    </w:t>
      </w:r>
      <w:r>
        <w:rPr>
          <w:rFonts w:hint="eastAsia" w:ascii="宋体" w:hAnsi="宋体" w:eastAsia="宋体" w:cs="宋体"/>
          <w:color w:val="auto"/>
          <w:kern w:val="2"/>
          <w:sz w:val="21"/>
          <w:szCs w:val="21"/>
          <w:highlight w:val="none"/>
          <w:lang w:val="en-US" w:eastAsia="zh-CN" w:bidi="ar"/>
        </w:rPr>
        <w:t>。</w:t>
      </w:r>
    </w:p>
    <w:p w14:paraId="19F02D0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施工现场需要具备的其他试验条件：</w:t>
      </w:r>
      <w:r>
        <w:rPr>
          <w:rFonts w:hint="eastAsia" w:ascii="宋体" w:hAnsi="宋体" w:eastAsia="宋体" w:cs="宋体"/>
          <w:color w:val="auto"/>
          <w:kern w:val="2"/>
          <w:sz w:val="21"/>
          <w:szCs w:val="21"/>
          <w:highlight w:val="none"/>
          <w:u w:val="single"/>
          <w:lang w:val="en-US" w:eastAsia="zh-CN" w:bidi="ar"/>
        </w:rPr>
        <w:t xml:space="preserve">   执行招标文件   </w:t>
      </w:r>
      <w:r>
        <w:rPr>
          <w:rFonts w:hint="eastAsia" w:ascii="宋体" w:hAnsi="宋体" w:eastAsia="宋体" w:cs="宋体"/>
          <w:color w:val="auto"/>
          <w:kern w:val="2"/>
          <w:sz w:val="21"/>
          <w:szCs w:val="21"/>
          <w:highlight w:val="none"/>
          <w:lang w:val="en-US" w:eastAsia="zh-CN" w:bidi="ar"/>
        </w:rPr>
        <w:t>。</w:t>
      </w:r>
    </w:p>
    <w:p w14:paraId="5DAEB9C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9.4 现场工艺试验 </w:t>
      </w:r>
    </w:p>
    <w:p w14:paraId="1F8C053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现场工艺试验的有关约定：</w:t>
      </w:r>
      <w:r>
        <w:rPr>
          <w:rFonts w:hint="eastAsia" w:ascii="宋体" w:hAnsi="宋体" w:eastAsia="宋体" w:cs="宋体"/>
          <w:color w:val="auto"/>
          <w:kern w:val="2"/>
          <w:sz w:val="21"/>
          <w:szCs w:val="21"/>
          <w:highlight w:val="none"/>
          <w:u w:val="single"/>
          <w:lang w:val="en-US" w:eastAsia="zh-CN" w:bidi="ar"/>
        </w:rPr>
        <w:t xml:space="preserve">   按监理人指示    </w:t>
      </w:r>
      <w:r>
        <w:rPr>
          <w:rFonts w:hint="eastAsia" w:ascii="宋体" w:hAnsi="宋体" w:eastAsia="宋体" w:cs="宋体"/>
          <w:color w:val="auto"/>
          <w:kern w:val="2"/>
          <w:sz w:val="21"/>
          <w:szCs w:val="21"/>
          <w:highlight w:val="none"/>
          <w:lang w:val="en-US" w:eastAsia="zh-CN" w:bidi="ar"/>
        </w:rPr>
        <w:t>。</w:t>
      </w:r>
    </w:p>
    <w:p w14:paraId="07082A86">
      <w:pPr>
        <w:pStyle w:val="9"/>
        <w:widowControl/>
        <w:snapToGrid w:val="0"/>
        <w:spacing w:before="0" w:beforeAutospacing="0" w:after="0" w:afterAutospacing="0" w:line="440" w:lineRule="exact"/>
        <w:ind w:left="0" w:firstLine="420" w:firstLineChars="200"/>
        <w:rPr>
          <w:rFonts w:hint="eastAsia" w:ascii="宋体" w:hAnsi="宋体"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10. 变更</w:t>
      </w:r>
    </w:p>
    <w:p w14:paraId="477635D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10.1变更的范围</w:t>
      </w:r>
    </w:p>
    <w:p w14:paraId="5C7F1A6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关于变更范围的约定：</w:t>
      </w:r>
      <w:r>
        <w:rPr>
          <w:rFonts w:hint="eastAsia" w:ascii="宋体" w:hAnsi="宋体" w:eastAsia="宋体" w:cs="宋体"/>
          <w:b/>
          <w:bCs w:val="0"/>
          <w:color w:val="auto"/>
          <w:kern w:val="2"/>
          <w:sz w:val="21"/>
          <w:szCs w:val="21"/>
          <w:highlight w:val="none"/>
          <w:u w:val="single"/>
          <w:lang w:val="en-US" w:eastAsia="zh-CN" w:bidi="ar"/>
        </w:rPr>
        <w:t>执行合同通用条款</w:t>
      </w:r>
      <w:r>
        <w:rPr>
          <w:rFonts w:hint="eastAsia" w:ascii="宋体" w:hAnsi="宋体" w:eastAsia="宋体" w:cs="宋体"/>
          <w:b/>
          <w:bCs/>
          <w:color w:val="auto"/>
          <w:kern w:val="2"/>
          <w:sz w:val="21"/>
          <w:szCs w:val="21"/>
          <w:highlight w:val="none"/>
          <w:u w:val="single"/>
          <w:lang w:val="en-US" w:eastAsia="zh-CN" w:bidi="ar"/>
        </w:rPr>
        <w:t>。</w:t>
      </w:r>
    </w:p>
    <w:p w14:paraId="63BFEB0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10.4 变更估价</w:t>
      </w:r>
    </w:p>
    <w:p w14:paraId="1554337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10.4.1变更估价原则</w:t>
      </w:r>
      <w:r>
        <w:rPr>
          <w:rFonts w:hint="eastAsia" w:ascii="宋体" w:hAnsi="宋体" w:eastAsia="宋体" w:cs="宋体"/>
          <w:color w:val="auto"/>
          <w:kern w:val="0"/>
          <w:sz w:val="21"/>
          <w:szCs w:val="21"/>
          <w:highlight w:val="none"/>
          <w:lang w:val="en-US" w:eastAsia="zh-CN" w:bidi="ar"/>
        </w:rPr>
        <w:br w:type="textWrapping"/>
      </w: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关于变更估价的约定:</w:t>
      </w:r>
    </w:p>
    <w:p w14:paraId="05BA19E1">
      <w:pPr>
        <w:keepNext w:val="0"/>
        <w:keepLines w:val="0"/>
        <w:widowControl w:val="0"/>
        <w:suppressLineNumbers w:val="0"/>
        <w:snapToGrid w:val="0"/>
        <w:spacing w:before="0" w:beforeAutospacing="0" w:after="0" w:afterAutospacing="0" w:line="440" w:lineRule="exact"/>
        <w:ind w:left="0" w:right="0" w:firstLine="422" w:firstLineChars="200"/>
        <w:jc w:val="left"/>
        <w:rPr>
          <w:rFonts w:hint="eastAsia" w:ascii="宋体" w:hAnsi="宋体" w:eastAsia="宋体" w:cs="宋体"/>
          <w:b/>
          <w:bCs/>
          <w:color w:val="auto"/>
          <w:kern w:val="2"/>
          <w:sz w:val="21"/>
          <w:szCs w:val="21"/>
          <w:highlight w:val="none"/>
          <w:u w:val="single"/>
        </w:rPr>
      </w:pPr>
      <w:r>
        <w:rPr>
          <w:rFonts w:hint="eastAsia" w:ascii="宋体" w:hAnsi="宋体" w:eastAsia="宋体" w:cs="宋体"/>
          <w:b/>
          <w:bCs/>
          <w:color w:val="auto"/>
          <w:kern w:val="2"/>
          <w:sz w:val="21"/>
          <w:szCs w:val="21"/>
          <w:highlight w:val="none"/>
          <w:lang w:val="en-US" w:eastAsia="zh-CN" w:bidi="ar"/>
        </w:rPr>
        <w:t>变更导致结算工程量（含1.13清单工程量错误产生的工程量）减少0-100%或增加15%以内部分，执行下列第（1）款或第（2）款确定的单价；但超出15%以外部分，结算单价按第（1）款或第（2）款对应的结算单价按最高投标限价单价×投标让利幅度计算且结算单价不得高于中标单价；已标价工程量清单或预算书中无相同项目及类似项目单价的新增项目单价按照最高投标限价的编制原则重新组价×投标让利幅度（上述投标让利幅度为中标价/最高投标限价，其中中标价和最高投标限价均扣除暂列金额、暂估价及相应税金），结算价格最终以相关部门审核价为准；</w:t>
      </w:r>
    </w:p>
    <w:p w14:paraId="614A0516">
      <w:pPr>
        <w:keepNext w:val="0"/>
        <w:keepLines w:val="0"/>
        <w:widowControl w:val="0"/>
        <w:suppressLineNumbers w:val="0"/>
        <w:snapToGrid w:val="0"/>
        <w:spacing w:before="0" w:beforeAutospacing="0" w:after="0" w:afterAutospacing="0" w:line="440" w:lineRule="exact"/>
        <w:ind w:left="0" w:right="0" w:firstLine="422" w:firstLineChars="200"/>
        <w:jc w:val="left"/>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（1）已标价工程量清单或预算书有相同项目的，按照相同项目单价认定；</w:t>
      </w:r>
    </w:p>
    <w:p w14:paraId="0D5BAAEC">
      <w:pPr>
        <w:keepNext w:val="0"/>
        <w:keepLines w:val="0"/>
        <w:widowControl w:val="0"/>
        <w:suppressLineNumbers w:val="0"/>
        <w:autoSpaceDE w:val="0"/>
        <w:autoSpaceDN w:val="0"/>
        <w:adjustRightInd w:val="0"/>
        <w:spacing w:before="0" w:beforeAutospacing="0" w:after="0" w:afterAutospacing="0" w:line="44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（2）</w:t>
      </w:r>
      <w:r>
        <w:rPr>
          <w:rFonts w:hint="eastAsia" w:ascii="宋体" w:hAnsi="宋体" w:eastAsia="宋体" w:cs="宋体"/>
          <w:b/>
          <w:bCs w:val="0"/>
          <w:color w:val="auto"/>
          <w:kern w:val="2"/>
          <w:sz w:val="21"/>
          <w:szCs w:val="21"/>
          <w:highlight w:val="none"/>
          <w:lang w:val="en-US" w:eastAsia="zh-CN" w:bidi="ar"/>
        </w:rPr>
        <w:t>已标价工程量清单或预算书中无相同项目，但有类似项目的，参照类似项目的单价认定。</w:t>
      </w:r>
    </w:p>
    <w:p w14:paraId="561FD36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技术措施费调整：</w:t>
      </w:r>
      <w:r>
        <w:rPr>
          <w:rFonts w:hint="eastAsia" w:ascii="宋体" w:hAnsi="宋体" w:eastAsia="宋体" w:cs="宋体"/>
          <w:b/>
          <w:bCs w:val="0"/>
          <w:color w:val="auto"/>
          <w:kern w:val="2"/>
          <w:sz w:val="21"/>
          <w:szCs w:val="21"/>
          <w:highlight w:val="none"/>
          <w:u w:val="single"/>
          <w:lang w:val="en-US" w:eastAsia="zh-CN" w:bidi="ar"/>
        </w:rPr>
        <w:t xml:space="preserve"> 因承包人改变施工技术措施，造成的价格变动，措施费不予调整。因工程变更必须改变原来施工技术措施，造成价格变动的，按实调整，变更组价原则同上。</w:t>
      </w:r>
    </w:p>
    <w:p w14:paraId="09A6A95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组织措施费调整：</w:t>
      </w:r>
      <w:r>
        <w:rPr>
          <w:rFonts w:hint="eastAsia" w:ascii="宋体" w:hAnsi="宋体" w:eastAsia="宋体" w:cs="宋体"/>
          <w:b/>
          <w:bCs w:val="0"/>
          <w:color w:val="auto"/>
          <w:kern w:val="2"/>
          <w:sz w:val="21"/>
          <w:szCs w:val="21"/>
          <w:highlight w:val="none"/>
          <w:u w:val="single"/>
          <w:lang w:val="en-US" w:eastAsia="zh-CN" w:bidi="ar"/>
        </w:rPr>
        <w:t>按实调整。</w:t>
      </w:r>
    </w:p>
    <w:p w14:paraId="6E79B32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10.5承包人的合理化建议</w:t>
      </w:r>
    </w:p>
    <w:p w14:paraId="7962B7A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监理人审查承包人合理化建议的期限：</w:t>
      </w:r>
      <w:r>
        <w:rPr>
          <w:rFonts w:hint="eastAsia" w:ascii="宋体" w:hAnsi="宋体" w:eastAsia="宋体" w:cs="宋体"/>
          <w:color w:val="auto"/>
          <w:kern w:val="2"/>
          <w:sz w:val="21"/>
          <w:szCs w:val="21"/>
          <w:highlight w:val="none"/>
          <w:u w:val="single"/>
          <w:lang w:val="en-US" w:eastAsia="zh-CN" w:bidi="ar"/>
        </w:rPr>
        <w:t xml:space="preserve"> 监理人应在收到承包人提交的合理化建议后7天内审查完毕并报送发包人，发现其中存在技术上的缺陷，应通知承包人修改。</w:t>
      </w:r>
    </w:p>
    <w:p w14:paraId="397A3DD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发包人审批承包人合理化建议的期限：</w:t>
      </w:r>
      <w:r>
        <w:rPr>
          <w:rFonts w:hint="eastAsia" w:ascii="宋体" w:hAnsi="宋体" w:eastAsia="宋体" w:cs="宋体"/>
          <w:color w:val="auto"/>
          <w:kern w:val="2"/>
          <w:sz w:val="21"/>
          <w:szCs w:val="21"/>
          <w:highlight w:val="none"/>
          <w:u w:val="single"/>
          <w:lang w:val="en-US" w:eastAsia="zh-CN" w:bidi="ar"/>
        </w:rPr>
        <w:t xml:space="preserve"> 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33E7679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承包人提出的合理化建议降低了合同价格或者提高了工程经济效益的奖励的方法和金额为：</w:t>
      </w:r>
      <w:r>
        <w:rPr>
          <w:rFonts w:hint="eastAsia" w:ascii="宋体" w:hAnsi="宋体" w:eastAsia="宋体" w:cs="宋体"/>
          <w:color w:val="auto"/>
          <w:kern w:val="2"/>
          <w:sz w:val="21"/>
          <w:szCs w:val="21"/>
          <w:highlight w:val="none"/>
          <w:u w:val="single"/>
          <w:lang w:val="en-US" w:eastAsia="zh-CN" w:bidi="ar"/>
        </w:rPr>
        <w:t>由发包人根据合同价格降低额或工程经济效益提高承担，结合项目考勤、质量、安全、进度等实际情况综合考虑</w:t>
      </w:r>
      <w:r>
        <w:rPr>
          <w:rFonts w:hint="eastAsia" w:ascii="宋体" w:hAnsi="宋体" w:eastAsia="宋体" w:cs="宋体"/>
          <w:color w:val="auto"/>
          <w:kern w:val="2"/>
          <w:sz w:val="21"/>
          <w:szCs w:val="21"/>
          <w:highlight w:val="none"/>
          <w:lang w:val="en-US" w:eastAsia="zh-CN" w:bidi="ar"/>
        </w:rPr>
        <w:t>。</w:t>
      </w:r>
    </w:p>
    <w:p w14:paraId="1353A414">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10.7 暂估价</w:t>
      </w:r>
    </w:p>
    <w:p w14:paraId="5FE65B6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暂估价材料和工程设备的明细</w:t>
      </w:r>
      <w:r>
        <w:rPr>
          <w:rFonts w:hint="eastAsia" w:ascii="宋体" w:hAnsi="宋体" w:eastAsia="宋体" w:cs="宋体"/>
          <w:color w:val="auto"/>
          <w:kern w:val="0"/>
          <w:sz w:val="21"/>
          <w:szCs w:val="21"/>
          <w:highlight w:val="none"/>
          <w:u w:val="single"/>
          <w:lang w:val="en-US" w:eastAsia="zh-CN" w:bidi="ar"/>
        </w:rPr>
        <w:t>详见《暂估价一览表》。</w:t>
      </w:r>
    </w:p>
    <w:p w14:paraId="1859070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10.7.1 依法必须招标的暂估价项目</w:t>
      </w:r>
    </w:p>
    <w:p w14:paraId="0374DF2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对于依法必须招标的暂估价项目的确认和批准采取</w:t>
      </w:r>
      <w:r>
        <w:rPr>
          <w:rFonts w:hint="eastAsia" w:ascii="宋体" w:hAnsi="宋体" w:eastAsia="宋体" w:cs="宋体"/>
          <w:color w:val="auto"/>
          <w:kern w:val="2"/>
          <w:sz w:val="21"/>
          <w:szCs w:val="21"/>
          <w:highlight w:val="none"/>
          <w:u w:val="single"/>
          <w:lang w:val="en-US" w:eastAsia="zh-CN" w:bidi="ar"/>
        </w:rPr>
        <w:t>第2种</w:t>
      </w:r>
      <w:r>
        <w:rPr>
          <w:rFonts w:hint="eastAsia" w:ascii="宋体" w:hAnsi="宋体" w:eastAsia="宋体" w:cs="宋体"/>
          <w:color w:val="auto"/>
          <w:kern w:val="2"/>
          <w:sz w:val="21"/>
          <w:szCs w:val="21"/>
          <w:highlight w:val="none"/>
          <w:lang w:val="en-US" w:eastAsia="zh-CN" w:bidi="ar"/>
        </w:rPr>
        <w:t>方式确定。</w:t>
      </w:r>
    </w:p>
    <w:p w14:paraId="21AFC33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10.7.2 不属于依法必须招标的暂估价项目</w:t>
      </w:r>
    </w:p>
    <w:p w14:paraId="29627A5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u w:val="single"/>
          <w:lang w:val="en-US" w:eastAsia="zh-CN" w:bidi="ar"/>
        </w:rPr>
        <w:t>对于不属于依法必须招标的暂估价项目的确认和批准采取询价或共同交易方式确定。</w:t>
      </w:r>
    </w:p>
    <w:p w14:paraId="2750C86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第3种方式：承包人直接实施的暂估价项目</w:t>
      </w:r>
    </w:p>
    <w:p w14:paraId="0A69E87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承包人直接实施的暂估价项目的约定：</w:t>
      </w:r>
      <w:r>
        <w:rPr>
          <w:rFonts w:hint="eastAsia" w:ascii="宋体" w:hAnsi="宋体" w:eastAsia="宋体" w:cs="宋体"/>
          <w:color w:val="auto"/>
          <w:kern w:val="2"/>
          <w:sz w:val="21"/>
          <w:szCs w:val="21"/>
          <w:highlight w:val="none"/>
          <w:u w:val="single"/>
          <w:lang w:val="en-US" w:eastAsia="zh-CN" w:bidi="ar"/>
        </w:rPr>
        <w:t xml:space="preserve">   无    。</w:t>
      </w:r>
    </w:p>
    <w:p w14:paraId="048E027A">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10.8 暂列金额</w:t>
      </w:r>
    </w:p>
    <w:p w14:paraId="5488A232">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合同当事人关于暂列金额使用的约定：</w:t>
      </w:r>
      <w:r>
        <w:rPr>
          <w:rFonts w:hint="eastAsia" w:ascii="宋体" w:hAnsi="宋体" w:eastAsia="宋体" w:cs="宋体"/>
          <w:color w:val="auto"/>
          <w:kern w:val="2"/>
          <w:sz w:val="21"/>
          <w:szCs w:val="21"/>
          <w:highlight w:val="none"/>
          <w:u w:val="single"/>
          <w:lang w:val="en-US" w:eastAsia="zh-CN" w:bidi="ar"/>
        </w:rPr>
        <w:t xml:space="preserve"> 暂列金额应按照发包人的要求使用。</w:t>
      </w:r>
    </w:p>
    <w:p w14:paraId="00B90006">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11. 价格调整</w:t>
      </w:r>
    </w:p>
    <w:p w14:paraId="1AE2DC70">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11.1 市场价格波动引起的调整</w:t>
      </w:r>
    </w:p>
    <w:p w14:paraId="0BD4DD66">
      <w:pPr>
        <w:keepNext w:val="0"/>
        <w:keepLines w:val="0"/>
        <w:widowControl w:val="0"/>
        <w:suppressLineNumbers w:val="0"/>
        <w:snapToGrid w:val="0"/>
        <w:spacing w:before="0" w:beforeAutospacing="0" w:after="0" w:afterAutospacing="0" w:line="40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市场价格波动是否调整合同价格的约定：</w:t>
      </w:r>
      <w:r>
        <w:rPr>
          <w:rFonts w:hint="eastAsia" w:ascii="宋体" w:hAnsi="宋体" w:eastAsia="宋体" w:cs="宋体"/>
          <w:color w:val="auto"/>
          <w:kern w:val="2"/>
          <w:sz w:val="21"/>
          <w:szCs w:val="21"/>
          <w:highlight w:val="none"/>
          <w:u w:val="single"/>
          <w:lang w:val="en-US" w:eastAsia="zh-CN" w:bidi="ar"/>
        </w:rPr>
        <w:t xml:space="preserve"> 不调整 </w:t>
      </w:r>
      <w:r>
        <w:rPr>
          <w:rFonts w:hint="eastAsia" w:ascii="宋体" w:hAnsi="宋体" w:eastAsia="宋体" w:cs="宋体"/>
          <w:color w:val="auto"/>
          <w:kern w:val="2"/>
          <w:sz w:val="21"/>
          <w:szCs w:val="21"/>
          <w:highlight w:val="none"/>
          <w:lang w:val="en-US" w:eastAsia="zh-CN" w:bidi="ar"/>
        </w:rPr>
        <w:t>。</w:t>
      </w:r>
    </w:p>
    <w:p w14:paraId="43627A9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第2种方式：采用造价信息进行价格调整：无。</w:t>
      </w:r>
    </w:p>
    <w:p w14:paraId="494EE033">
      <w:pPr>
        <w:keepNext w:val="0"/>
        <w:keepLines w:val="0"/>
        <w:widowControl w:val="0"/>
        <w:suppressLineNumbers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第3种方式：其他价格调整方式：</w:t>
      </w:r>
      <w:r>
        <w:rPr>
          <w:rFonts w:hint="eastAsia" w:ascii="宋体" w:hAnsi="宋体" w:eastAsia="宋体" w:cs="宋体"/>
          <w:color w:val="auto"/>
          <w:kern w:val="2"/>
          <w:sz w:val="21"/>
          <w:szCs w:val="21"/>
          <w:highlight w:val="none"/>
          <w:u w:val="single"/>
          <w:lang w:val="en-US" w:eastAsia="zh-CN" w:bidi="ar"/>
        </w:rPr>
        <w:t xml:space="preserve">   无。</w:t>
      </w:r>
    </w:p>
    <w:p w14:paraId="34B81BCF">
      <w:pPr>
        <w:pStyle w:val="9"/>
        <w:widowControl/>
        <w:snapToGrid w:val="0"/>
        <w:spacing w:before="0" w:beforeAutospacing="0" w:after="0" w:afterAutospacing="0" w:line="440" w:lineRule="exact"/>
        <w:ind w:left="0" w:firstLine="420" w:firstLineChars="200"/>
        <w:rPr>
          <w:rFonts w:hint="eastAsia" w:ascii="宋体" w:hAnsi="宋体" w:eastAsia="宋体" w:cs="宋体"/>
          <w:b/>
          <w:bCs w:val="0"/>
          <w:color w:val="auto"/>
          <w:kern w:val="2"/>
          <w:sz w:val="21"/>
          <w:szCs w:val="21"/>
          <w:highlight w:val="none"/>
        </w:rPr>
      </w:pPr>
      <w:r>
        <w:rPr>
          <w:rFonts w:hint="eastAsia" w:ascii="宋体" w:hAnsi="宋体" w:eastAsia="宋体" w:cs="宋体"/>
          <w:b w:val="0"/>
          <w:bCs w:val="0"/>
          <w:color w:val="auto"/>
          <w:kern w:val="2"/>
          <w:sz w:val="21"/>
          <w:szCs w:val="21"/>
          <w:highlight w:val="none"/>
        </w:rPr>
        <w:t>11.2人工费调整方法：</w:t>
      </w:r>
      <w:r>
        <w:rPr>
          <w:rFonts w:hint="eastAsia" w:ascii="宋体" w:hAnsi="宋体" w:eastAsia="宋体" w:cs="宋体"/>
          <w:b/>
          <w:bCs w:val="0"/>
          <w:color w:val="auto"/>
          <w:kern w:val="2"/>
          <w:sz w:val="21"/>
          <w:szCs w:val="21"/>
          <w:highlight w:val="none"/>
        </w:rPr>
        <w:t>按滁州市住房和城乡建设局发布的《关于发布滁州市建设工程人工价格信息的通知》建科（2021）34号文件规定执行</w:t>
      </w:r>
    </w:p>
    <w:p w14:paraId="3853294C">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12. 合同价格、计量与支付</w:t>
      </w:r>
    </w:p>
    <w:p w14:paraId="488F5F90">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12.1 合同价格形式</w:t>
      </w:r>
    </w:p>
    <w:p w14:paraId="64E013B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1、单价合同。</w:t>
      </w:r>
    </w:p>
    <w:p w14:paraId="203F58A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
          <w:bCs w:val="0"/>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综合单价包含的风险范围：</w:t>
      </w:r>
      <w:r>
        <w:rPr>
          <w:rFonts w:hint="eastAsia" w:ascii="宋体" w:hAnsi="宋体" w:eastAsia="宋体" w:cs="宋体"/>
          <w:b/>
          <w:bCs w:val="0"/>
          <w:color w:val="auto"/>
          <w:kern w:val="2"/>
          <w:sz w:val="21"/>
          <w:szCs w:val="21"/>
          <w:highlight w:val="none"/>
          <w:u w:val="single"/>
          <w:lang w:val="en-US" w:eastAsia="zh-CN" w:bidi="ar"/>
        </w:rPr>
        <w:t>各种因素引起的材料价格（合同允许调差的材料除外）、机械使用费、管理费、利润等。</w:t>
      </w:r>
    </w:p>
    <w:p w14:paraId="11E8B72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风险费用的计算方法：</w:t>
      </w:r>
      <w:r>
        <w:rPr>
          <w:rFonts w:hint="eastAsia" w:ascii="宋体" w:hAnsi="宋体" w:eastAsia="宋体" w:cs="宋体"/>
          <w:color w:val="auto"/>
          <w:kern w:val="2"/>
          <w:sz w:val="21"/>
          <w:szCs w:val="21"/>
          <w:highlight w:val="none"/>
          <w:u w:val="single"/>
          <w:lang w:val="en-US" w:eastAsia="zh-CN" w:bidi="ar"/>
        </w:rPr>
        <w:t xml:space="preserve"> 不考虑  </w:t>
      </w:r>
    </w:p>
    <w:p w14:paraId="30FBA87B">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风险范围以外合同价格的调整方法：</w:t>
      </w:r>
      <w:r>
        <w:rPr>
          <w:rFonts w:hint="eastAsia" w:ascii="宋体" w:hAnsi="宋体" w:eastAsia="宋体" w:cs="宋体"/>
          <w:b/>
          <w:bCs w:val="0"/>
          <w:color w:val="auto"/>
          <w:kern w:val="2"/>
          <w:sz w:val="21"/>
          <w:szCs w:val="21"/>
          <w:highlight w:val="none"/>
          <w:u w:val="single"/>
          <w:lang w:val="en-US" w:eastAsia="zh-CN" w:bidi="ar"/>
        </w:rPr>
        <w:t>结算价=合同价±工程变更造价±分部分项工程量清单工程量误差造价±材料价格调整造价±政策性调整造价±人工价格调整造价±措施项目调整造价－暂列金额×1.09± 合理工程索赔。</w:t>
      </w:r>
      <w:r>
        <w:rPr>
          <w:rFonts w:hint="eastAsia" w:ascii="宋体" w:hAnsi="宋体" w:eastAsia="宋体" w:cs="宋体"/>
          <w:bCs/>
          <w:color w:val="auto"/>
          <w:kern w:val="2"/>
          <w:sz w:val="21"/>
          <w:szCs w:val="21"/>
          <w:highlight w:val="none"/>
          <w:u w:val="single"/>
          <w:lang w:val="en-US" w:eastAsia="zh-CN" w:bidi="ar"/>
        </w:rPr>
        <w:t xml:space="preserve"> </w:t>
      </w:r>
    </w:p>
    <w:p w14:paraId="0C3CAF36">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12.2 预付款</w:t>
      </w:r>
    </w:p>
    <w:p w14:paraId="6CB14BD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12.2.1 预付款的支付</w:t>
      </w:r>
    </w:p>
    <w:p w14:paraId="48038E9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预付款支付比例或金额：</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68105F7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预付款支付期限：</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02FBB8C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预付款扣回的方式：</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1AB1472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12.2.2 预付款担保</w:t>
      </w:r>
    </w:p>
    <w:p w14:paraId="28621E5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承包人提交预付款担保的期限：</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35C2554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预付款担保的形式为：</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1EAD004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 计量</w:t>
      </w:r>
    </w:p>
    <w:p w14:paraId="25CE12E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12.3.1 计量原则</w:t>
      </w:r>
    </w:p>
    <w:p w14:paraId="3322699E">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工程量计算规则：</w:t>
      </w:r>
      <w:r>
        <w:rPr>
          <w:rFonts w:hint="eastAsia" w:ascii="宋体" w:hAnsi="宋体" w:eastAsia="宋体" w:cs="宋体"/>
          <w:color w:val="auto"/>
          <w:kern w:val="2"/>
          <w:sz w:val="21"/>
          <w:szCs w:val="21"/>
          <w:highlight w:val="none"/>
          <w:u w:val="single"/>
          <w:lang w:val="en-US" w:eastAsia="zh-CN" w:bidi="ar"/>
        </w:rPr>
        <w:t>执行现行建设工程工程量清单计价规范（GB50500）、安徽省建设工程计价依据。</w:t>
      </w:r>
    </w:p>
    <w:p w14:paraId="5AA7D814">
      <w:pPr>
        <w:keepNext w:val="0"/>
        <w:keepLines w:val="0"/>
        <w:widowControl w:val="0"/>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12.3.2 计量周期</w:t>
      </w:r>
    </w:p>
    <w:p w14:paraId="13A5754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关于计量周期的约定：</w:t>
      </w:r>
      <w:r>
        <w:rPr>
          <w:rFonts w:hint="eastAsia" w:ascii="宋体" w:hAnsi="宋体" w:eastAsia="宋体" w:cs="宋体"/>
          <w:color w:val="auto"/>
          <w:kern w:val="2"/>
          <w:sz w:val="21"/>
          <w:szCs w:val="21"/>
          <w:highlight w:val="none"/>
          <w:u w:val="single"/>
          <w:lang w:val="en-US" w:eastAsia="zh-CN" w:bidi="ar"/>
        </w:rPr>
        <w:t xml:space="preserve">   按月计量   </w:t>
      </w:r>
      <w:r>
        <w:rPr>
          <w:rFonts w:hint="eastAsia" w:ascii="宋体" w:hAnsi="宋体" w:eastAsia="宋体" w:cs="宋体"/>
          <w:color w:val="auto"/>
          <w:kern w:val="2"/>
          <w:sz w:val="21"/>
          <w:szCs w:val="21"/>
          <w:highlight w:val="none"/>
          <w:lang w:val="en-US" w:eastAsia="zh-CN" w:bidi="ar"/>
        </w:rPr>
        <w:t>。</w:t>
      </w:r>
    </w:p>
    <w:p w14:paraId="7520FFA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12.3.3 单价合同的计量</w:t>
      </w:r>
    </w:p>
    <w:p w14:paraId="0D1550F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关于单价合同计量的约定：</w:t>
      </w:r>
      <w:r>
        <w:rPr>
          <w:rFonts w:hint="eastAsia" w:ascii="宋体" w:hAnsi="宋体" w:eastAsia="宋体" w:cs="宋体"/>
          <w:color w:val="auto"/>
          <w:kern w:val="2"/>
          <w:sz w:val="21"/>
          <w:szCs w:val="21"/>
          <w:highlight w:val="none"/>
          <w:u w:val="single"/>
          <w:lang w:val="en-US" w:eastAsia="zh-CN" w:bidi="ar"/>
        </w:rPr>
        <w:t>（1）承包人应于每月25日向监理人报送上月20日至当月19日已完成的工程量报告，并附具进度付款申请单、已完成工程量报表和有关资料。（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3）监理人未在收到承包人提交的工程量报表后的7天内完成审核的，承包人报送的工程量报告中的工程量视为承包人实际完成的工程量，据此计算工程价款。</w:t>
      </w:r>
    </w:p>
    <w:p w14:paraId="1E2A2AF7">
      <w:pPr>
        <w:keepNext w:val="0"/>
        <w:keepLines w:val="0"/>
        <w:widowControl w:val="0"/>
        <w:suppressLineNumbers w:val="0"/>
        <w:snapToGrid w:val="0"/>
        <w:spacing w:before="0" w:beforeAutospacing="0" w:after="0" w:afterAutospacing="0" w:line="516"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注：本项目所有道路清表土方堆放道路两侧道路红线以外的，环保市容部门验收合格后方可计量。</w:t>
      </w:r>
    </w:p>
    <w:p w14:paraId="3E25482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12.3.4 总价合同的计量</w:t>
      </w:r>
    </w:p>
    <w:p w14:paraId="4E870C5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关于总价合同计量的约定：</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70C75E6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12.3.5总价合同采用支付分解表计量支付的，是否适用第</w:t>
      </w:r>
      <w:r>
        <w:rPr>
          <w:rFonts w:hint="eastAsia" w:ascii="宋体" w:hAnsi="宋体" w:eastAsia="宋体" w:cs="宋体"/>
          <w:color w:val="auto"/>
          <w:kern w:val="0"/>
          <w:sz w:val="21"/>
          <w:szCs w:val="21"/>
          <w:highlight w:val="none"/>
          <w:lang w:val="en-US" w:eastAsia="zh-CN" w:bidi="ar"/>
        </w:rPr>
        <w:t xml:space="preserve">12.3.4 </w:t>
      </w:r>
      <w:r>
        <w:rPr>
          <w:rFonts w:hint="eastAsia" w:ascii="宋体" w:hAnsi="宋体" w:eastAsia="宋体" w:cs="宋体"/>
          <w:color w:val="auto"/>
          <w:kern w:val="2"/>
          <w:sz w:val="21"/>
          <w:szCs w:val="21"/>
          <w:highlight w:val="none"/>
          <w:lang w:val="en-US" w:eastAsia="zh-CN" w:bidi="ar"/>
        </w:rPr>
        <w:t>项</w:t>
      </w:r>
      <w:r>
        <w:rPr>
          <w:rFonts w:hint="eastAsia" w:ascii="宋体" w:hAnsi="宋体" w:eastAsia="宋体" w:cs="宋体"/>
          <w:color w:val="auto"/>
          <w:kern w:val="0"/>
          <w:sz w:val="21"/>
          <w:szCs w:val="21"/>
          <w:highlight w:val="none"/>
          <w:lang w:val="en-US" w:eastAsia="zh-CN" w:bidi="ar"/>
        </w:rPr>
        <w:t>〔总价合同的计量〕</w:t>
      </w:r>
      <w:r>
        <w:rPr>
          <w:rFonts w:hint="eastAsia" w:ascii="宋体" w:hAnsi="宋体" w:eastAsia="宋体" w:cs="宋体"/>
          <w:color w:val="auto"/>
          <w:kern w:val="2"/>
          <w:sz w:val="21"/>
          <w:szCs w:val="21"/>
          <w:highlight w:val="none"/>
          <w:lang w:val="en-US" w:eastAsia="zh-CN" w:bidi="ar"/>
        </w:rPr>
        <w:t>约定进行计量：</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1DB355D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12.3.6 其他价格形式合同的计量</w:t>
      </w:r>
    </w:p>
    <w:p w14:paraId="46854DC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其他价格形式的计量方式和程序：</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0143D74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 工程进度款支付</w:t>
      </w:r>
    </w:p>
    <w:p w14:paraId="23400F7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12.4.1 付款周期</w:t>
      </w:r>
    </w:p>
    <w:p w14:paraId="1CB4D43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关于付款周期的约定：</w:t>
      </w:r>
      <w:r>
        <w:rPr>
          <w:rFonts w:hint="eastAsia" w:ascii="宋体" w:hAnsi="宋体" w:eastAsia="宋体" w:cs="宋体"/>
          <w:color w:val="auto"/>
          <w:kern w:val="2"/>
          <w:sz w:val="21"/>
          <w:szCs w:val="21"/>
          <w:highlight w:val="none"/>
          <w:u w:val="single"/>
          <w:lang w:val="en-US" w:eastAsia="zh-CN" w:bidi="ar"/>
        </w:rPr>
        <w:t xml:space="preserve">  按施工进度付款   </w:t>
      </w:r>
      <w:r>
        <w:rPr>
          <w:rFonts w:hint="eastAsia" w:ascii="宋体" w:hAnsi="宋体" w:eastAsia="宋体" w:cs="宋体"/>
          <w:color w:val="auto"/>
          <w:kern w:val="2"/>
          <w:sz w:val="21"/>
          <w:szCs w:val="21"/>
          <w:highlight w:val="none"/>
          <w:lang w:val="en-US" w:eastAsia="zh-CN" w:bidi="ar"/>
        </w:rPr>
        <w:t>。</w:t>
      </w:r>
    </w:p>
    <w:p w14:paraId="66FB8F0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12.4.2 进度付款申请单的编制</w:t>
      </w:r>
    </w:p>
    <w:p w14:paraId="5E1B7C3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关于进度付款申请单编制的约定：</w:t>
      </w:r>
      <w:r>
        <w:rPr>
          <w:rFonts w:hint="eastAsia" w:ascii="宋体" w:hAnsi="宋体" w:eastAsia="宋体" w:cs="宋体"/>
          <w:color w:val="auto"/>
          <w:kern w:val="2"/>
          <w:sz w:val="21"/>
          <w:szCs w:val="21"/>
          <w:highlight w:val="none"/>
          <w:u w:val="single"/>
          <w:lang w:val="en-US" w:eastAsia="zh-CN" w:bidi="ar"/>
        </w:rPr>
        <w:t>执行发包人统一内容格式。</w:t>
      </w:r>
    </w:p>
    <w:p w14:paraId="71B5649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12.4.3 进度付款申请单的提交</w:t>
      </w:r>
    </w:p>
    <w:p w14:paraId="63A6BFE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（1）单价合同进度付款申请单提交的约定：</w:t>
      </w:r>
      <w:r>
        <w:rPr>
          <w:rFonts w:hint="eastAsia" w:ascii="宋体" w:hAnsi="宋体" w:eastAsia="宋体" w:cs="宋体"/>
          <w:color w:val="auto"/>
          <w:kern w:val="2"/>
          <w:sz w:val="21"/>
          <w:szCs w:val="21"/>
          <w:highlight w:val="none"/>
          <w:u w:val="single"/>
          <w:lang w:val="en-US" w:eastAsia="zh-CN" w:bidi="ar"/>
        </w:rPr>
        <w:t xml:space="preserve"> </w:t>
      </w:r>
      <w:r>
        <w:rPr>
          <w:rFonts w:hint="eastAsia" w:ascii="黑体" w:hAnsi="宋体" w:eastAsia="黑体" w:cs="黑体"/>
          <w:b/>
          <w:bCs/>
          <w:color w:val="auto"/>
          <w:kern w:val="2"/>
          <w:sz w:val="21"/>
          <w:szCs w:val="21"/>
          <w:highlight w:val="none"/>
          <w:u w:val="single"/>
          <w:lang w:val="en-US" w:eastAsia="zh-CN" w:bidi="ar"/>
        </w:rPr>
        <w:t>按施工进度付款，承包人每月月底前向发包人报送请款资料。</w:t>
      </w:r>
    </w:p>
    <w:p w14:paraId="2E598B5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（2）总价合同进度付款申请单提交的约定：</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257F80F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（3）其他价格形式合同进度付款申请单提交的约定：</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4C46DC4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12.4.4 进度款审核和支付</w:t>
      </w:r>
    </w:p>
    <w:p w14:paraId="3446C64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（1）监理人审查并报送发包人的期限：</w:t>
      </w:r>
      <w:r>
        <w:rPr>
          <w:rFonts w:hint="eastAsia" w:ascii="宋体" w:hAnsi="宋体" w:eastAsia="宋体" w:cs="宋体"/>
          <w:color w:val="auto"/>
          <w:kern w:val="2"/>
          <w:sz w:val="21"/>
          <w:szCs w:val="21"/>
          <w:highlight w:val="none"/>
          <w:u w:val="single"/>
          <w:lang w:val="en-US" w:eastAsia="zh-CN" w:bidi="ar"/>
        </w:rPr>
        <w:t xml:space="preserve"> 监理人应在收到承包人进度付款申请单以及相关资料后7天内完成审查并报送发包人。</w:t>
      </w:r>
    </w:p>
    <w:p w14:paraId="1E04D8F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发包人完成审批并签发进度款支付证书的期限：</w:t>
      </w:r>
      <w:r>
        <w:rPr>
          <w:rFonts w:hint="eastAsia" w:ascii="宋体" w:hAnsi="宋体" w:eastAsia="宋体" w:cs="宋体"/>
          <w:color w:val="auto"/>
          <w:kern w:val="2"/>
          <w:sz w:val="21"/>
          <w:szCs w:val="21"/>
          <w:highlight w:val="none"/>
          <w:u w:val="single"/>
          <w:lang w:val="en-US" w:eastAsia="zh-CN" w:bidi="ar"/>
        </w:rPr>
        <w:t>发包人应在收到后7天内完成审批并签发进度款支付证书，跟踪审计人员审核时间除外</w:t>
      </w:r>
      <w:r>
        <w:rPr>
          <w:rFonts w:hint="eastAsia" w:ascii="宋体" w:hAnsi="宋体" w:eastAsia="宋体" w:cs="宋体"/>
          <w:color w:val="auto"/>
          <w:kern w:val="2"/>
          <w:sz w:val="21"/>
          <w:szCs w:val="21"/>
          <w:highlight w:val="none"/>
          <w:lang w:val="en-US" w:eastAsia="zh-CN" w:bidi="ar"/>
        </w:rPr>
        <w:t>。</w:t>
      </w:r>
    </w:p>
    <w:p w14:paraId="5F15AF32">
      <w:pPr>
        <w:keepNext w:val="0"/>
        <w:keepLines w:val="0"/>
        <w:widowControl w:val="0"/>
        <w:suppressLineNumbers w:val="0"/>
        <w:tabs>
          <w:tab w:val="left" w:pos="0"/>
        </w:tabs>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（2）发包人支付进度款的期限：发票送达一周内完成支付。</w:t>
      </w:r>
    </w:p>
    <w:p w14:paraId="6F7D959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发包人逾期支付进度款的违约金的计算方式：</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56EE8BA1">
      <w:pPr>
        <w:keepNext w:val="0"/>
        <w:keepLines w:val="0"/>
        <w:widowControl w:val="0"/>
        <w:suppressLineNumbers w:val="0"/>
        <w:snapToGrid w:val="0"/>
        <w:spacing w:before="0" w:beforeAutospacing="0" w:after="0" w:afterAutospacing="0" w:line="44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支付方式：</w:t>
      </w:r>
    </w:p>
    <w:p w14:paraId="20E65851">
      <w:pPr>
        <w:keepNext w:val="0"/>
        <w:keepLines w:val="0"/>
        <w:widowControl w:val="0"/>
        <w:suppressLineNumbers w:val="0"/>
        <w:snapToGrid w:val="0"/>
        <w:spacing w:before="0" w:beforeAutospacing="0" w:after="0" w:afterAutospacing="0" w:line="440" w:lineRule="exact"/>
        <w:ind w:left="0" w:right="0" w:firstLine="422" w:firstLineChars="200"/>
        <w:jc w:val="left"/>
        <w:rPr>
          <w:rFonts w:hint="eastAsia" w:ascii="宋体" w:hAnsi="宋体" w:eastAsia="宋体" w:cs="宋体"/>
          <w:b/>
          <w:bCs w:val="0"/>
          <w:color w:val="auto"/>
          <w:kern w:val="2"/>
          <w:sz w:val="21"/>
          <w:szCs w:val="21"/>
          <w:highlight w:val="none"/>
        </w:rPr>
      </w:pPr>
      <w:r>
        <w:rPr>
          <w:rFonts w:hint="eastAsia" w:ascii="宋体" w:hAnsi="宋体" w:eastAsia="宋体" w:cs="宋体"/>
          <w:b/>
          <w:bCs/>
          <w:color w:val="auto"/>
          <w:kern w:val="2"/>
          <w:sz w:val="21"/>
          <w:szCs w:val="21"/>
          <w:highlight w:val="none"/>
          <w:u w:val="single"/>
          <w:lang w:val="en-US" w:eastAsia="zh-CN" w:bidi="ar"/>
        </w:rPr>
        <w:t>无预付工程款，工程竣工验收合格支付至合同价款的80%，审计完成后支付至审计结算价款的98%，剩余2%作为工程质量保证金，工程缺陷责任期（2年，自竣工验收合格之日起计算）满后付清余款。承包人须按发包人要求提供增值税发票。</w:t>
      </w:r>
    </w:p>
    <w:p w14:paraId="6BE035B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12.4.6 支付分解表的编制</w:t>
      </w:r>
    </w:p>
    <w:p w14:paraId="2108197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2、总价合同支付分解表的编制与审批：</w:t>
      </w:r>
      <w:r>
        <w:rPr>
          <w:rFonts w:hint="eastAsia" w:ascii="宋体" w:hAnsi="宋体" w:eastAsia="宋体" w:cs="宋体"/>
          <w:color w:val="auto"/>
          <w:kern w:val="2"/>
          <w:sz w:val="21"/>
          <w:szCs w:val="21"/>
          <w:highlight w:val="none"/>
          <w:u w:val="single"/>
          <w:lang w:val="en-US" w:eastAsia="zh-CN" w:bidi="ar"/>
        </w:rPr>
        <w:t xml:space="preserve">   不采用   </w:t>
      </w:r>
      <w:r>
        <w:rPr>
          <w:rFonts w:hint="eastAsia" w:ascii="宋体" w:hAnsi="宋体" w:eastAsia="宋体" w:cs="宋体"/>
          <w:color w:val="auto"/>
          <w:kern w:val="2"/>
          <w:sz w:val="21"/>
          <w:szCs w:val="21"/>
          <w:highlight w:val="none"/>
          <w:lang w:val="en-US" w:eastAsia="zh-CN" w:bidi="ar"/>
        </w:rPr>
        <w:t>。</w:t>
      </w:r>
    </w:p>
    <w:p w14:paraId="6FE8787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3、单价合同的总价项目支付分解表的编制与审批：</w:t>
      </w:r>
      <w:r>
        <w:rPr>
          <w:rFonts w:hint="eastAsia" w:ascii="宋体" w:hAnsi="宋体" w:eastAsia="宋体" w:cs="宋体"/>
          <w:color w:val="auto"/>
          <w:kern w:val="2"/>
          <w:sz w:val="21"/>
          <w:szCs w:val="21"/>
          <w:highlight w:val="none"/>
          <w:u w:val="single"/>
          <w:lang w:val="en-US" w:eastAsia="zh-CN" w:bidi="ar"/>
        </w:rPr>
        <w:t>执行发包人统一内容格式。</w:t>
      </w:r>
    </w:p>
    <w:p w14:paraId="2DCF348A">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2.4.7 农民工工资管理</w:t>
      </w:r>
      <w:r>
        <w:rPr>
          <w:rFonts w:hint="eastAsia" w:ascii="宋体" w:hAnsi="宋体" w:eastAsia="宋体" w:cs="宋体"/>
          <w:b/>
          <w:bCs w:val="0"/>
          <w:color w:val="auto"/>
          <w:kern w:val="2"/>
          <w:sz w:val="21"/>
          <w:szCs w:val="21"/>
          <w:highlight w:val="none"/>
          <w:lang w:val="en-US" w:eastAsia="zh-CN" w:bidi="ar"/>
        </w:rPr>
        <w:t>（农民工工资保证金支持保函使用）</w:t>
      </w:r>
    </w:p>
    <w:p w14:paraId="29C41BA6">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(1)本工程农民工工资实行专用账户管理，承包人设立的专用账户开户行为</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，账号：</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w:t>
      </w:r>
    </w:p>
    <w:p w14:paraId="56622A07">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(2)本工程工资性工程款</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元（相应的最低工资标准乘建筑面积）；其中工资性工程预付款</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元。(工资性工程款除月工期)</w:t>
      </w:r>
    </w:p>
    <w:p w14:paraId="4106BB27">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(3)发包人在监理人签发开工报告前，将工资性工程预付款转入承包人开立的农民工工资专用账户。工程开工后第一个月支付工资性工程进度款起，分</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月扣回工资性工程预付款。</w:t>
      </w:r>
    </w:p>
    <w:p w14:paraId="760DE422">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(4)发包人于每月25日前将工资性工程进度款转入农民工工资专用账户。</w:t>
      </w:r>
    </w:p>
    <w:p w14:paraId="7048DA2E">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(5)承包人每月25日前上报本工程农民工工资清单，每月10日前委托开设农民工工资专用账户的银行支付农民工工资。</w:t>
      </w:r>
    </w:p>
    <w:p w14:paraId="1B47D83D">
      <w:pPr>
        <w:keepNext w:val="0"/>
        <w:keepLines w:val="0"/>
        <w:widowControl w:val="0"/>
        <w:suppressLineNumbers w:val="0"/>
        <w:autoSpaceDE w:val="0"/>
        <w:autoSpaceDN/>
        <w:snapToGrid w:val="0"/>
        <w:spacing w:before="0" w:beforeAutospacing="0" w:after="0" w:afterAutospacing="0" w:line="44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(6)工程竣工后，经项目部农民工维权组确认无农民工工资拖欠后，发、承双方办理农民工工资专用账户撤销手续，农民工工资专用账户余额划至本合同约定的承包人账户。</w:t>
      </w:r>
    </w:p>
    <w:p w14:paraId="2016B6D0">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13. 验收和工程试车</w:t>
      </w:r>
    </w:p>
    <w:p w14:paraId="47A6402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13.1 分部分项工程验收</w:t>
      </w:r>
    </w:p>
    <w:p w14:paraId="46EC246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13.1.2监理人不能按时进行验收时，应提前</w:t>
      </w:r>
      <w:r>
        <w:rPr>
          <w:rFonts w:hint="eastAsia" w:ascii="宋体" w:hAnsi="宋体" w:eastAsia="宋体" w:cs="宋体"/>
          <w:color w:val="auto"/>
          <w:kern w:val="2"/>
          <w:sz w:val="21"/>
          <w:szCs w:val="21"/>
          <w:highlight w:val="none"/>
          <w:u w:val="single"/>
          <w:lang w:val="en-US" w:eastAsia="zh-CN" w:bidi="ar"/>
        </w:rPr>
        <w:t xml:space="preserve">  3  </w:t>
      </w:r>
      <w:r>
        <w:rPr>
          <w:rFonts w:hint="eastAsia" w:ascii="宋体" w:hAnsi="宋体" w:eastAsia="宋体" w:cs="宋体"/>
          <w:color w:val="auto"/>
          <w:kern w:val="2"/>
          <w:sz w:val="21"/>
          <w:szCs w:val="21"/>
          <w:highlight w:val="none"/>
          <w:lang w:val="en-US" w:eastAsia="zh-CN" w:bidi="ar"/>
        </w:rPr>
        <w:t>小时提交书面延期要求。</w:t>
      </w:r>
    </w:p>
    <w:p w14:paraId="4B0C471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关于延期最长不得超过：</w:t>
      </w:r>
      <w:r>
        <w:rPr>
          <w:rFonts w:hint="eastAsia" w:ascii="宋体" w:hAnsi="宋体" w:eastAsia="宋体" w:cs="宋体"/>
          <w:color w:val="auto"/>
          <w:kern w:val="2"/>
          <w:sz w:val="21"/>
          <w:szCs w:val="21"/>
          <w:highlight w:val="none"/>
          <w:u w:val="single"/>
          <w:lang w:val="en-US" w:eastAsia="zh-CN" w:bidi="ar"/>
        </w:rPr>
        <w:t xml:space="preserve"> 6  </w:t>
      </w:r>
      <w:r>
        <w:rPr>
          <w:rFonts w:hint="eastAsia" w:ascii="宋体" w:hAnsi="宋体" w:eastAsia="宋体" w:cs="宋体"/>
          <w:color w:val="auto"/>
          <w:kern w:val="2"/>
          <w:sz w:val="21"/>
          <w:szCs w:val="21"/>
          <w:highlight w:val="none"/>
          <w:lang w:val="en-US" w:eastAsia="zh-CN" w:bidi="ar"/>
        </w:rPr>
        <w:t>小时。</w:t>
      </w:r>
    </w:p>
    <w:p w14:paraId="57680BCD">
      <w:pPr>
        <w:keepNext w:val="0"/>
        <w:keepLines w:val="0"/>
        <w:widowControl w:val="0"/>
        <w:suppressLineNumbers w:val="0"/>
        <w:wordWrap w:val="0"/>
        <w:snapToGrid w:val="0"/>
        <w:spacing w:before="0" w:beforeAutospacing="0" w:after="0" w:afterAutospacing="0" w:line="440" w:lineRule="exact"/>
        <w:ind w:left="0" w:right="0" w:firstLine="420" w:firstLineChars="200"/>
        <w:jc w:val="both"/>
        <w:textAlignment w:val="bottom"/>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13.2 竣工验收</w:t>
      </w:r>
    </w:p>
    <w:p w14:paraId="266ACB4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13.2.2竣工验收程序</w:t>
      </w:r>
    </w:p>
    <w:p w14:paraId="23455EC0">
      <w:pPr>
        <w:keepNext w:val="0"/>
        <w:keepLines w:val="0"/>
        <w:widowControl w:val="0"/>
        <w:suppressLineNumbers w:val="0"/>
        <w:wordWrap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关于竣工验收程序的约定：</w:t>
      </w:r>
      <w:r>
        <w:rPr>
          <w:rFonts w:hint="eastAsia" w:ascii="宋体" w:hAnsi="宋体" w:eastAsia="宋体" w:cs="宋体"/>
          <w:color w:val="auto"/>
          <w:kern w:val="2"/>
          <w:sz w:val="21"/>
          <w:szCs w:val="21"/>
          <w:highlight w:val="none"/>
          <w:u w:val="single"/>
          <w:lang w:val="en-US" w:eastAsia="zh-CN" w:bidi="ar"/>
        </w:rPr>
        <w:t>承包人取得工程完工证明之日起即为工程实际竣工日期（该时间仅用于计算工期，不用于质量保修期、缺陷责任期等）。</w:t>
      </w:r>
    </w:p>
    <w:p w14:paraId="234CB3EF">
      <w:pPr>
        <w:keepNext w:val="0"/>
        <w:keepLines w:val="0"/>
        <w:widowControl w:val="0"/>
        <w:suppressLineNumbers w:val="0"/>
        <w:wordWrap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发包人不按照本项约定组织竣工验收、颁发工程接收证书的违约金的计算方法：</w:t>
      </w:r>
      <w:r>
        <w:rPr>
          <w:rFonts w:hint="eastAsia" w:ascii="宋体" w:hAnsi="宋体" w:eastAsia="宋体" w:cs="宋体"/>
          <w:color w:val="auto"/>
          <w:kern w:val="2"/>
          <w:sz w:val="21"/>
          <w:szCs w:val="21"/>
          <w:highlight w:val="none"/>
          <w:u w:val="single"/>
          <w:lang w:val="en-US" w:eastAsia="zh-CN" w:bidi="ar"/>
        </w:rPr>
        <w:t xml:space="preserve">  不考虑 </w:t>
      </w:r>
      <w:r>
        <w:rPr>
          <w:rFonts w:hint="eastAsia" w:ascii="宋体" w:hAnsi="宋体" w:eastAsia="宋体" w:cs="宋体"/>
          <w:color w:val="auto"/>
          <w:kern w:val="2"/>
          <w:sz w:val="21"/>
          <w:szCs w:val="21"/>
          <w:highlight w:val="none"/>
          <w:lang w:val="en-US" w:eastAsia="zh-CN" w:bidi="ar"/>
        </w:rPr>
        <w:t>。</w:t>
      </w:r>
    </w:p>
    <w:p w14:paraId="0CBBB49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13.2.5移交、接收全部与部分工程</w:t>
      </w:r>
    </w:p>
    <w:p w14:paraId="1DEEB41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承包人向发包人移交工程的期限：</w:t>
      </w:r>
      <w:r>
        <w:rPr>
          <w:rFonts w:hint="eastAsia" w:ascii="宋体" w:hAnsi="宋体" w:eastAsia="宋体" w:cs="宋体"/>
          <w:color w:val="auto"/>
          <w:kern w:val="2"/>
          <w:sz w:val="21"/>
          <w:szCs w:val="21"/>
          <w:highlight w:val="none"/>
          <w:u w:val="single"/>
          <w:lang w:val="en-US" w:eastAsia="zh-CN" w:bidi="ar"/>
        </w:rPr>
        <w:t xml:space="preserve"> 承包人应当无条件配合发包人在30日内将工程移交给管养单位。</w:t>
      </w:r>
    </w:p>
    <w:p w14:paraId="0F3BFE1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发包人未按本合同约定接收全部或部分工程的，违约金的计算方法为：</w:t>
      </w:r>
      <w:r>
        <w:rPr>
          <w:rFonts w:hint="eastAsia" w:ascii="宋体" w:hAnsi="宋体" w:eastAsia="宋体" w:cs="宋体"/>
          <w:color w:val="auto"/>
          <w:kern w:val="2"/>
          <w:sz w:val="21"/>
          <w:szCs w:val="21"/>
          <w:highlight w:val="none"/>
          <w:u w:val="single"/>
          <w:lang w:val="en-US" w:eastAsia="zh-CN" w:bidi="ar"/>
        </w:rPr>
        <w:t xml:space="preserve">  不考虑  </w:t>
      </w:r>
      <w:r>
        <w:rPr>
          <w:rFonts w:hint="eastAsia" w:ascii="宋体" w:hAnsi="宋体" w:eastAsia="宋体" w:cs="宋体"/>
          <w:color w:val="auto"/>
          <w:kern w:val="2"/>
          <w:sz w:val="21"/>
          <w:szCs w:val="21"/>
          <w:highlight w:val="none"/>
          <w:lang w:val="en-US" w:eastAsia="zh-CN" w:bidi="ar"/>
        </w:rPr>
        <w:t>。</w:t>
      </w:r>
    </w:p>
    <w:p w14:paraId="4DE9C18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承包人未按时移交工程的，违约金的计算方法为：</w:t>
      </w:r>
      <w:r>
        <w:rPr>
          <w:rFonts w:hint="eastAsia" w:ascii="宋体" w:hAnsi="宋体" w:eastAsia="宋体" w:cs="宋体"/>
          <w:color w:val="auto"/>
          <w:kern w:val="2"/>
          <w:sz w:val="21"/>
          <w:szCs w:val="21"/>
          <w:highlight w:val="none"/>
          <w:u w:val="single"/>
          <w:lang w:val="en-US" w:eastAsia="zh-CN" w:bidi="ar"/>
        </w:rPr>
        <w:t xml:space="preserve"> 因承包人原因，未按合同期限按时移交的，暂停工程款支付，发包人可动用质保金，用于工程质量整改，同时限制承包人一年内不得参与安徽省琅琊山旅游发展有限公司项目投标  </w:t>
      </w:r>
      <w:r>
        <w:rPr>
          <w:rFonts w:hint="eastAsia" w:ascii="宋体" w:hAnsi="宋体" w:eastAsia="宋体" w:cs="宋体"/>
          <w:color w:val="auto"/>
          <w:kern w:val="2"/>
          <w:sz w:val="21"/>
          <w:szCs w:val="21"/>
          <w:highlight w:val="none"/>
          <w:lang w:val="en-US" w:eastAsia="zh-CN" w:bidi="ar"/>
        </w:rPr>
        <w:t>。</w:t>
      </w:r>
    </w:p>
    <w:p w14:paraId="76E2B88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13.3 工程试车</w:t>
      </w:r>
    </w:p>
    <w:p w14:paraId="7D97E47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13.3.1 试车程序</w:t>
      </w:r>
    </w:p>
    <w:p w14:paraId="3A88BE4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工程试车内容：</w:t>
      </w:r>
      <w:r>
        <w:rPr>
          <w:rFonts w:hint="eastAsia" w:ascii="宋体" w:hAnsi="宋体" w:eastAsia="宋体" w:cs="宋体"/>
          <w:color w:val="auto"/>
          <w:kern w:val="2"/>
          <w:sz w:val="21"/>
          <w:szCs w:val="21"/>
          <w:highlight w:val="none"/>
          <w:u w:val="single"/>
          <w:lang w:val="en-US" w:eastAsia="zh-CN" w:bidi="ar"/>
        </w:rPr>
        <w:t xml:space="preserve">  工程需要试车的，试车内容应与承包人承包范围相一致，试车费用由承包人承担。</w:t>
      </w:r>
    </w:p>
    <w:p w14:paraId="29BC3CD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（1）单机无负荷试车费用由</w:t>
      </w:r>
      <w:r>
        <w:rPr>
          <w:rFonts w:hint="eastAsia" w:ascii="宋体" w:hAnsi="宋体" w:eastAsia="宋体" w:cs="宋体"/>
          <w:color w:val="auto"/>
          <w:kern w:val="2"/>
          <w:sz w:val="21"/>
          <w:szCs w:val="21"/>
          <w:highlight w:val="none"/>
          <w:u w:val="single"/>
          <w:lang w:val="en-US" w:eastAsia="zh-CN" w:bidi="ar"/>
        </w:rPr>
        <w:t xml:space="preserve">  承包人  </w:t>
      </w:r>
      <w:r>
        <w:rPr>
          <w:rFonts w:hint="eastAsia" w:ascii="宋体" w:hAnsi="宋体" w:eastAsia="宋体" w:cs="宋体"/>
          <w:color w:val="auto"/>
          <w:kern w:val="0"/>
          <w:sz w:val="21"/>
          <w:szCs w:val="21"/>
          <w:highlight w:val="none"/>
          <w:lang w:val="en-US" w:eastAsia="zh-CN" w:bidi="ar"/>
        </w:rPr>
        <w:t>承担；</w:t>
      </w:r>
    </w:p>
    <w:p w14:paraId="76D7A48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（2）无负荷联动试车费用由</w:t>
      </w:r>
      <w:r>
        <w:rPr>
          <w:rFonts w:hint="eastAsia" w:ascii="宋体" w:hAnsi="宋体" w:eastAsia="宋体" w:cs="宋体"/>
          <w:color w:val="auto"/>
          <w:kern w:val="2"/>
          <w:sz w:val="21"/>
          <w:szCs w:val="21"/>
          <w:highlight w:val="none"/>
          <w:u w:val="single"/>
          <w:lang w:val="en-US" w:eastAsia="zh-CN" w:bidi="ar"/>
        </w:rPr>
        <w:t xml:space="preserve">   承包人  </w:t>
      </w:r>
      <w:r>
        <w:rPr>
          <w:rFonts w:hint="eastAsia" w:ascii="宋体" w:hAnsi="宋体" w:eastAsia="宋体" w:cs="宋体"/>
          <w:color w:val="auto"/>
          <w:kern w:val="0"/>
          <w:sz w:val="21"/>
          <w:szCs w:val="21"/>
          <w:highlight w:val="none"/>
          <w:lang w:val="en-US" w:eastAsia="zh-CN" w:bidi="ar"/>
        </w:rPr>
        <w:t>承担。</w:t>
      </w:r>
    </w:p>
    <w:p w14:paraId="7F1365C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13.3.3 投料试车</w:t>
      </w:r>
    </w:p>
    <w:p w14:paraId="5D3AA4B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0"/>
          <w:sz w:val="21"/>
          <w:szCs w:val="21"/>
          <w:highlight w:val="none"/>
          <w:lang w:val="en-US" w:eastAsia="zh-CN" w:bidi="ar"/>
        </w:rPr>
        <w:t>关于投料试车相关事项的约定：</w:t>
      </w:r>
      <w:r>
        <w:rPr>
          <w:rFonts w:hint="eastAsia" w:ascii="宋体" w:hAnsi="宋体" w:eastAsia="宋体" w:cs="宋体"/>
          <w:color w:val="auto"/>
          <w:kern w:val="0"/>
          <w:sz w:val="21"/>
          <w:szCs w:val="21"/>
          <w:highlight w:val="none"/>
          <w:u w:val="single"/>
          <w:lang w:val="en-US" w:eastAsia="zh-CN" w:bidi="ar"/>
        </w:rPr>
        <w:t>如需进行投料试车的，发包人应在工程竣工验收后组织投料试车。发包人要求在工程竣工验收前进行或需要承包人配合时，应征得承包人同意。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17D64F8D">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13.6 竣工退场</w:t>
      </w:r>
    </w:p>
    <w:p w14:paraId="5EBC0A7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13.6.1 竣工退场</w:t>
      </w:r>
    </w:p>
    <w:p w14:paraId="20E6B90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承包人完成竣工退场的期限：</w:t>
      </w:r>
      <w:r>
        <w:rPr>
          <w:rFonts w:hint="eastAsia" w:ascii="宋体" w:hAnsi="宋体" w:eastAsia="宋体" w:cs="宋体"/>
          <w:color w:val="auto"/>
          <w:kern w:val="2"/>
          <w:sz w:val="21"/>
          <w:szCs w:val="21"/>
          <w:highlight w:val="none"/>
          <w:u w:val="single"/>
          <w:lang w:val="en-US" w:eastAsia="zh-CN" w:bidi="ar"/>
        </w:rPr>
        <w:t>工程竣工合格后，7天内退场。</w:t>
      </w:r>
    </w:p>
    <w:p w14:paraId="6908B632">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14. 竣工结算</w:t>
      </w:r>
    </w:p>
    <w:p w14:paraId="479C957F">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14.1 竣工付款申请</w:t>
      </w:r>
    </w:p>
    <w:p w14:paraId="554B3DA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承包人提交竣工付款申请单的期限：</w:t>
      </w:r>
      <w:r>
        <w:rPr>
          <w:rFonts w:hint="eastAsia" w:ascii="宋体" w:hAnsi="宋体" w:eastAsia="宋体" w:cs="宋体"/>
          <w:color w:val="auto"/>
          <w:kern w:val="2"/>
          <w:sz w:val="21"/>
          <w:szCs w:val="21"/>
          <w:highlight w:val="none"/>
          <w:u w:val="single"/>
          <w:lang w:val="en-US" w:eastAsia="zh-CN" w:bidi="ar"/>
        </w:rPr>
        <w:t>承包人须于竣工验收合格后60日内完成竣工结算报告和完整结算资料上报，特殊情况，经分管领导批准的可以延长。凡因承包人原因，未能在规定时间内上报竣工结算的，处罚10000元/月的违约金。情节严重的，项目单位有权按已有资料或按已付款报相关部门办理结算。</w:t>
      </w:r>
    </w:p>
    <w:p w14:paraId="4067216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竣工结算申请单应包括的内容：</w:t>
      </w:r>
      <w:r>
        <w:rPr>
          <w:rFonts w:hint="eastAsia" w:ascii="宋体" w:hAnsi="宋体" w:eastAsia="宋体" w:cs="宋体"/>
          <w:color w:val="auto"/>
          <w:kern w:val="2"/>
          <w:sz w:val="21"/>
          <w:szCs w:val="21"/>
          <w:highlight w:val="none"/>
          <w:u w:val="single"/>
          <w:lang w:val="en-US" w:eastAsia="zh-CN" w:bidi="ar"/>
        </w:rPr>
        <w:t>执行发包人统一内容格式。</w:t>
      </w:r>
    </w:p>
    <w:p w14:paraId="702D1B7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14.2 竣工结算审核</w:t>
      </w:r>
    </w:p>
    <w:p w14:paraId="7A6C0F0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发包人审批竣工付款申请单的期限：</w:t>
      </w:r>
      <w:r>
        <w:rPr>
          <w:rFonts w:hint="eastAsia" w:ascii="宋体" w:hAnsi="宋体" w:eastAsia="宋体" w:cs="宋体"/>
          <w:color w:val="auto"/>
          <w:kern w:val="2"/>
          <w:sz w:val="21"/>
          <w:szCs w:val="21"/>
          <w:highlight w:val="none"/>
          <w:u w:val="single"/>
          <w:lang w:val="en-US" w:eastAsia="zh-CN" w:bidi="ar"/>
        </w:rPr>
        <w:t xml:space="preserve"> 相关部门审核通过后7天内完成审批并签发结算款支付证书</w:t>
      </w:r>
      <w:r>
        <w:rPr>
          <w:rFonts w:hint="eastAsia" w:ascii="宋体" w:hAnsi="宋体" w:eastAsia="宋体" w:cs="宋体"/>
          <w:color w:val="auto"/>
          <w:kern w:val="2"/>
          <w:sz w:val="21"/>
          <w:szCs w:val="21"/>
          <w:highlight w:val="none"/>
          <w:lang w:val="en-US" w:eastAsia="zh-CN" w:bidi="ar"/>
        </w:rPr>
        <w:t>。</w:t>
      </w:r>
    </w:p>
    <w:p w14:paraId="42AFDA2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发包人完成竣工付款的期限：</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1E634D2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关于竣工付款证书异议部分复核的方式和程序：</w:t>
      </w:r>
      <w:r>
        <w:rPr>
          <w:rFonts w:hint="eastAsia" w:ascii="宋体" w:hAnsi="宋体" w:eastAsia="宋体" w:cs="宋体"/>
          <w:color w:val="auto"/>
          <w:kern w:val="2"/>
          <w:sz w:val="21"/>
          <w:szCs w:val="21"/>
          <w:highlight w:val="none"/>
          <w:u w:val="single"/>
          <w:lang w:val="en-US" w:eastAsia="zh-CN" w:bidi="ar"/>
        </w:rPr>
        <w:t xml:space="preserve"> 按照第20条〔争议解决〕约定处理。</w:t>
      </w:r>
    </w:p>
    <w:p w14:paraId="709A5BDE">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14.4 最终结清</w:t>
      </w:r>
    </w:p>
    <w:p w14:paraId="279B8D1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14.4.1 最终结清申请单</w:t>
      </w:r>
    </w:p>
    <w:p w14:paraId="472039F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承包人提交最终结清申请单的份数：</w:t>
      </w:r>
      <w:r>
        <w:rPr>
          <w:rFonts w:hint="eastAsia" w:ascii="宋体" w:hAnsi="宋体" w:eastAsia="宋体" w:cs="宋体"/>
          <w:color w:val="auto"/>
          <w:kern w:val="2"/>
          <w:sz w:val="21"/>
          <w:szCs w:val="21"/>
          <w:highlight w:val="none"/>
          <w:u w:val="single"/>
          <w:lang w:val="en-US" w:eastAsia="zh-CN" w:bidi="ar"/>
        </w:rPr>
        <w:t xml:space="preserve"> 4份  </w:t>
      </w:r>
      <w:r>
        <w:rPr>
          <w:rFonts w:hint="eastAsia" w:ascii="宋体" w:hAnsi="宋体" w:eastAsia="宋体" w:cs="宋体"/>
          <w:color w:val="auto"/>
          <w:kern w:val="2"/>
          <w:sz w:val="21"/>
          <w:szCs w:val="21"/>
          <w:highlight w:val="none"/>
          <w:lang w:val="en-US" w:eastAsia="zh-CN" w:bidi="ar"/>
        </w:rPr>
        <w:t>。</w:t>
      </w:r>
    </w:p>
    <w:p w14:paraId="4C0D51D7">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0"/>
          <w:sz w:val="21"/>
          <w:szCs w:val="21"/>
          <w:highlight w:val="none"/>
          <w:lang w:val="en-US" w:eastAsia="zh-CN" w:bidi="ar"/>
        </w:rPr>
        <w:t>承包人提交最终结算申请单的期限：</w:t>
      </w:r>
      <w:r>
        <w:rPr>
          <w:rFonts w:hint="eastAsia" w:ascii="宋体" w:hAnsi="宋体" w:eastAsia="宋体" w:cs="宋体"/>
          <w:color w:val="auto"/>
          <w:kern w:val="2"/>
          <w:sz w:val="21"/>
          <w:szCs w:val="21"/>
          <w:highlight w:val="none"/>
          <w:u w:val="single"/>
          <w:lang w:val="en-US" w:eastAsia="zh-CN" w:bidi="ar"/>
        </w:rPr>
        <w:t xml:space="preserve"> 缺陷责任期满经复查合格后7天内。</w:t>
      </w:r>
    </w:p>
    <w:p w14:paraId="5D04E4D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14.4.2 最终结清证书和支付</w:t>
      </w:r>
    </w:p>
    <w:p w14:paraId="7B8DFF6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（1）发包人完成最终结清申请单的审批并颁发最终结清证书的期限：</w:t>
      </w:r>
      <w:r>
        <w:rPr>
          <w:rFonts w:hint="eastAsia" w:ascii="宋体" w:hAnsi="宋体" w:eastAsia="宋体" w:cs="宋体"/>
          <w:color w:val="auto"/>
          <w:kern w:val="2"/>
          <w:sz w:val="21"/>
          <w:szCs w:val="21"/>
          <w:highlight w:val="none"/>
          <w:u w:val="single"/>
          <w:lang w:val="en-US" w:eastAsia="zh-CN" w:bidi="ar"/>
        </w:rPr>
        <w:t xml:space="preserve"> 缺陷责任期满经复查合格后14天内。</w:t>
      </w:r>
    </w:p>
    <w:p w14:paraId="0F9198E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（2）发包人完成支付的期限：</w:t>
      </w:r>
      <w:r>
        <w:rPr>
          <w:rFonts w:hint="eastAsia" w:ascii="宋体" w:hAnsi="宋体" w:eastAsia="宋体" w:cs="宋体"/>
          <w:color w:val="auto"/>
          <w:kern w:val="2"/>
          <w:sz w:val="21"/>
          <w:szCs w:val="21"/>
          <w:highlight w:val="none"/>
          <w:u w:val="single"/>
          <w:lang w:val="en-US" w:eastAsia="zh-CN" w:bidi="ar"/>
        </w:rPr>
        <w:t xml:space="preserve">发包人在发票送达一周内完成支付 </w:t>
      </w:r>
      <w:r>
        <w:rPr>
          <w:rFonts w:hint="eastAsia" w:ascii="宋体" w:hAnsi="宋体" w:eastAsia="宋体" w:cs="宋体"/>
          <w:color w:val="auto"/>
          <w:kern w:val="2"/>
          <w:sz w:val="21"/>
          <w:szCs w:val="21"/>
          <w:highlight w:val="none"/>
          <w:lang w:val="en-US" w:eastAsia="zh-CN" w:bidi="ar"/>
        </w:rPr>
        <w:t>。</w:t>
      </w:r>
    </w:p>
    <w:p w14:paraId="7CC064A3">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15. 缺陷责任期与保修</w:t>
      </w:r>
    </w:p>
    <w:p w14:paraId="743A5A4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15.2缺陷责任期</w:t>
      </w:r>
    </w:p>
    <w:p w14:paraId="6853B39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缺陷责任期的具体期限：</w:t>
      </w:r>
      <w:r>
        <w:rPr>
          <w:rFonts w:hint="eastAsia" w:ascii="黑体" w:hAnsi="宋体" w:eastAsia="黑体" w:cs="黑体"/>
          <w:b/>
          <w:bCs/>
          <w:color w:val="auto"/>
          <w:kern w:val="2"/>
          <w:sz w:val="21"/>
          <w:szCs w:val="21"/>
          <w:highlight w:val="none"/>
          <w:u w:val="single"/>
          <w:lang w:val="en-US" w:eastAsia="zh-CN" w:bidi="ar"/>
        </w:rPr>
        <w:t>详见付款方式</w:t>
      </w:r>
      <w:r>
        <w:rPr>
          <w:rFonts w:hint="eastAsia" w:ascii="宋体" w:hAnsi="宋体" w:eastAsia="宋体" w:cs="宋体"/>
          <w:color w:val="auto"/>
          <w:kern w:val="2"/>
          <w:sz w:val="21"/>
          <w:szCs w:val="21"/>
          <w:highlight w:val="none"/>
          <w:u w:val="single"/>
          <w:lang w:val="en-US" w:eastAsia="zh-CN" w:bidi="ar"/>
        </w:rPr>
        <w:t>。</w:t>
      </w:r>
    </w:p>
    <w:p w14:paraId="4AAF2AC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15.3 质量保证金</w:t>
      </w:r>
    </w:p>
    <w:p w14:paraId="7E1D59A1">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关于是否扣留质量保证金的约定：</w:t>
      </w:r>
      <w:r>
        <w:rPr>
          <w:rFonts w:hint="eastAsia" w:ascii="宋体" w:hAnsi="宋体" w:eastAsia="宋体" w:cs="宋体"/>
          <w:color w:val="auto"/>
          <w:kern w:val="2"/>
          <w:sz w:val="21"/>
          <w:szCs w:val="21"/>
          <w:highlight w:val="none"/>
          <w:u w:val="single"/>
          <w:lang w:val="en-US" w:eastAsia="zh-CN" w:bidi="ar"/>
        </w:rPr>
        <w:t xml:space="preserve">  是 </w:t>
      </w:r>
      <w:r>
        <w:rPr>
          <w:rFonts w:hint="eastAsia" w:ascii="宋体" w:hAnsi="宋体" w:eastAsia="宋体" w:cs="宋体"/>
          <w:color w:val="auto"/>
          <w:kern w:val="2"/>
          <w:sz w:val="21"/>
          <w:szCs w:val="21"/>
          <w:highlight w:val="none"/>
          <w:lang w:val="en-US" w:eastAsia="zh-CN" w:bidi="ar"/>
        </w:rPr>
        <w:t>。在工程项目竣工前，承包人按专用合同条款第3.7款提供履约保证金的，发包人不得同时预留工程质量保证金。</w:t>
      </w:r>
    </w:p>
    <w:p w14:paraId="70B42D11">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15.3.1 承包人提供质量保证金的方式</w:t>
      </w:r>
    </w:p>
    <w:p w14:paraId="26A46B36">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质量保证金采用第</w:t>
      </w:r>
      <w:r>
        <w:rPr>
          <w:rFonts w:hint="eastAsia" w:ascii="宋体" w:hAnsi="宋体" w:eastAsia="宋体" w:cs="宋体"/>
          <w:b w:val="0"/>
          <w:bCs w:val="0"/>
          <w:color w:val="auto"/>
          <w:kern w:val="2"/>
          <w:sz w:val="21"/>
          <w:szCs w:val="21"/>
          <w:highlight w:val="none"/>
          <w:u w:val="single"/>
          <w:lang w:val="en-US" w:eastAsia="zh-CN" w:bidi="ar"/>
        </w:rPr>
        <w:t xml:space="preserve">   </w:t>
      </w:r>
      <w:r>
        <w:rPr>
          <w:rFonts w:hint="eastAsia" w:ascii="宋体" w:hAnsi="宋体" w:eastAsia="宋体" w:cs="宋体"/>
          <w:b w:val="0"/>
          <w:bCs w:val="0"/>
          <w:color w:val="auto"/>
          <w:kern w:val="2"/>
          <w:sz w:val="21"/>
          <w:szCs w:val="21"/>
          <w:highlight w:val="none"/>
          <w:lang w:val="en-US" w:eastAsia="zh-CN" w:bidi="ar"/>
        </w:rPr>
        <w:t>种方式：</w:t>
      </w:r>
    </w:p>
    <w:p w14:paraId="13BA9070">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（1）质量保证金保函，保证金额为：</w:t>
      </w:r>
      <w:r>
        <w:rPr>
          <w:rFonts w:hint="eastAsia" w:ascii="宋体" w:hAnsi="宋体" w:eastAsia="宋体" w:cs="宋体"/>
          <w:b w:val="0"/>
          <w:bCs w:val="0"/>
          <w:color w:val="auto"/>
          <w:kern w:val="0"/>
          <w:sz w:val="21"/>
          <w:szCs w:val="21"/>
          <w:highlight w:val="none"/>
          <w:u w:val="single"/>
          <w:lang w:val="en-US" w:eastAsia="zh-CN" w:bidi="ar"/>
        </w:rPr>
        <w:t>2%的工程款</w:t>
      </w:r>
      <w:r>
        <w:rPr>
          <w:rFonts w:hint="eastAsia" w:ascii="宋体" w:hAnsi="宋体" w:eastAsia="宋体" w:cs="宋体"/>
          <w:b w:val="0"/>
          <w:bCs w:val="0"/>
          <w:color w:val="auto"/>
          <w:kern w:val="0"/>
          <w:sz w:val="21"/>
          <w:szCs w:val="21"/>
          <w:highlight w:val="none"/>
          <w:lang w:val="en-US" w:eastAsia="zh-CN" w:bidi="ar"/>
        </w:rPr>
        <w:t xml:space="preserve">； </w:t>
      </w:r>
    </w:p>
    <w:p w14:paraId="2B74B139">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w:t>
      </w:r>
      <w:r>
        <w:rPr>
          <w:rFonts w:hint="eastAsia" w:ascii="宋体" w:hAnsi="宋体" w:eastAsia="宋体" w:cs="宋体"/>
          <w:b w:val="0"/>
          <w:bCs w:val="0"/>
          <w:color w:val="auto"/>
          <w:kern w:val="0"/>
          <w:sz w:val="21"/>
          <w:szCs w:val="21"/>
          <w:highlight w:val="none"/>
          <w:u w:val="single"/>
          <w:lang w:val="en-US" w:eastAsia="zh-CN" w:bidi="ar"/>
        </w:rPr>
        <w:t>2</w:t>
      </w:r>
      <w:r>
        <w:rPr>
          <w:rFonts w:hint="eastAsia" w:ascii="宋体" w:hAnsi="宋体" w:eastAsia="宋体" w:cs="宋体"/>
          <w:b w:val="0"/>
          <w:bCs w:val="0"/>
          <w:color w:val="auto"/>
          <w:kern w:val="0"/>
          <w:sz w:val="21"/>
          <w:szCs w:val="21"/>
          <w:highlight w:val="none"/>
          <w:lang w:val="en-US" w:eastAsia="zh-CN" w:bidi="ar"/>
        </w:rPr>
        <w:t>%的工程款；</w:t>
      </w:r>
    </w:p>
    <w:p w14:paraId="0997443F">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（3）其他方式:</w:t>
      </w:r>
      <w:r>
        <w:rPr>
          <w:rFonts w:hint="eastAsia" w:ascii="宋体" w:hAnsi="宋体" w:eastAsia="宋体" w:cs="宋体"/>
          <w:b w:val="0"/>
          <w:bCs w:val="0"/>
          <w:color w:val="auto"/>
          <w:kern w:val="0"/>
          <w:sz w:val="21"/>
          <w:szCs w:val="21"/>
          <w:highlight w:val="none"/>
          <w:u w:val="single"/>
          <w:lang w:val="en-US" w:eastAsia="zh-CN" w:bidi="ar"/>
        </w:rPr>
        <w:t xml:space="preserve">   /  </w:t>
      </w:r>
      <w:r>
        <w:rPr>
          <w:rFonts w:hint="eastAsia" w:ascii="宋体" w:hAnsi="宋体" w:eastAsia="宋体" w:cs="宋体"/>
          <w:b w:val="0"/>
          <w:bCs w:val="0"/>
          <w:color w:val="auto"/>
          <w:kern w:val="0"/>
          <w:sz w:val="21"/>
          <w:szCs w:val="21"/>
          <w:highlight w:val="none"/>
          <w:lang w:val="en-US" w:eastAsia="zh-CN" w:bidi="ar"/>
        </w:rPr>
        <w:t>。</w:t>
      </w:r>
    </w:p>
    <w:p w14:paraId="0BABC55A">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 xml:space="preserve">15.3.2 质量保证金的扣留 </w:t>
      </w:r>
    </w:p>
    <w:p w14:paraId="316C90CA">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质量保证金的扣留采取第</w:t>
      </w:r>
      <w:r>
        <w:rPr>
          <w:rFonts w:hint="eastAsia" w:ascii="宋体" w:hAnsi="宋体" w:eastAsia="宋体" w:cs="宋体"/>
          <w:b w:val="0"/>
          <w:bCs w:val="0"/>
          <w:color w:val="auto"/>
          <w:kern w:val="2"/>
          <w:sz w:val="21"/>
          <w:szCs w:val="21"/>
          <w:highlight w:val="none"/>
          <w:u w:val="single"/>
          <w:lang w:val="en-US" w:eastAsia="zh-CN" w:bidi="ar"/>
        </w:rPr>
        <w:t xml:space="preserve">   </w:t>
      </w:r>
      <w:r>
        <w:rPr>
          <w:rFonts w:hint="eastAsia" w:ascii="宋体" w:hAnsi="宋体" w:eastAsia="宋体" w:cs="宋体"/>
          <w:b w:val="0"/>
          <w:bCs w:val="0"/>
          <w:color w:val="auto"/>
          <w:kern w:val="2"/>
          <w:sz w:val="21"/>
          <w:szCs w:val="21"/>
          <w:highlight w:val="none"/>
          <w:lang w:val="en-US" w:eastAsia="zh-CN" w:bidi="ar"/>
        </w:rPr>
        <w:t>种方式：</w:t>
      </w:r>
    </w:p>
    <w:p w14:paraId="641E646D">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（1）在支付工程进度款时逐次扣留，在此情形下，质量保证金的计算基数不包括预付款的支付、扣回以及价格调整的金额；</w:t>
      </w:r>
    </w:p>
    <w:p w14:paraId="465164C4">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（2）工程竣工结算时一次性扣留质量保证金；</w:t>
      </w:r>
    </w:p>
    <w:p w14:paraId="21AF4D40">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bidi="ar"/>
        </w:rPr>
        <w:t>（3）其他扣留方式:</w:t>
      </w:r>
      <w:r>
        <w:rPr>
          <w:rFonts w:hint="eastAsia" w:ascii="宋体" w:hAnsi="宋体" w:eastAsia="宋体" w:cs="宋体"/>
          <w:b w:val="0"/>
          <w:bCs w:val="0"/>
          <w:color w:val="auto"/>
          <w:kern w:val="0"/>
          <w:sz w:val="21"/>
          <w:szCs w:val="21"/>
          <w:highlight w:val="none"/>
          <w:u w:val="single"/>
          <w:lang w:val="en-US" w:eastAsia="zh-CN" w:bidi="ar"/>
        </w:rPr>
        <w:t xml:space="preserve">  /    </w:t>
      </w:r>
      <w:r>
        <w:rPr>
          <w:rFonts w:hint="eastAsia" w:ascii="宋体" w:hAnsi="宋体" w:eastAsia="宋体" w:cs="宋体"/>
          <w:b w:val="0"/>
          <w:bCs w:val="0"/>
          <w:color w:val="auto"/>
          <w:kern w:val="0"/>
          <w:sz w:val="21"/>
          <w:szCs w:val="21"/>
          <w:highlight w:val="none"/>
          <w:lang w:val="en-US" w:eastAsia="zh-CN" w:bidi="ar"/>
        </w:rPr>
        <w:t>。</w:t>
      </w:r>
    </w:p>
    <w:p w14:paraId="0560352F">
      <w:pPr>
        <w:keepNext w:val="0"/>
        <w:keepLines w:val="0"/>
        <w:widowControl w:val="0"/>
        <w:suppressLineNumbers w:val="0"/>
        <w:adjustRightInd w:val="0"/>
        <w:snapToGrid w:val="0"/>
        <w:spacing w:before="0" w:beforeAutospacing="0" w:after="0" w:afterAutospacing="0" w:line="384" w:lineRule="auto"/>
        <w:ind w:left="0" w:right="0" w:firstLine="420" w:firstLineChars="200"/>
        <w:jc w:val="both"/>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2"/>
          <w:sz w:val="21"/>
          <w:szCs w:val="21"/>
          <w:highlight w:val="none"/>
          <w:lang w:val="en-US" w:eastAsia="zh-CN" w:bidi="ar"/>
        </w:rPr>
        <w:t>关于质量保证金的补充约定：</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w:t>
      </w:r>
    </w:p>
    <w:p w14:paraId="30129A52">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15.4保修</w:t>
      </w:r>
    </w:p>
    <w:p w14:paraId="3758904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15.4.1 保修责任</w:t>
      </w:r>
    </w:p>
    <w:p w14:paraId="73B8024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2"/>
          <w:sz w:val="21"/>
          <w:szCs w:val="21"/>
          <w:highlight w:val="none"/>
          <w:lang w:val="en-US" w:eastAsia="zh-CN" w:bidi="ar"/>
        </w:rPr>
        <w:t>工程保修期为：</w:t>
      </w:r>
      <w:r>
        <w:rPr>
          <w:rFonts w:hint="eastAsia" w:ascii="宋体" w:hAnsi="宋体" w:eastAsia="宋体" w:cs="宋体"/>
          <w:color w:val="auto"/>
          <w:kern w:val="0"/>
          <w:sz w:val="21"/>
          <w:szCs w:val="21"/>
          <w:highlight w:val="none"/>
          <w:u w:val="single"/>
          <w:lang w:val="en-US" w:eastAsia="zh-CN" w:bidi="ar"/>
        </w:rPr>
        <w:t xml:space="preserve">   执行《建设工程质量管理条例》及有关规定，</w:t>
      </w:r>
      <w:r>
        <w:rPr>
          <w:rFonts w:hint="eastAsia" w:ascii="宋体" w:hAnsi="宋体" w:eastAsia="宋体" w:cs="宋体"/>
          <w:b/>
          <w:bCs w:val="0"/>
          <w:color w:val="auto"/>
          <w:kern w:val="2"/>
          <w:sz w:val="21"/>
          <w:szCs w:val="21"/>
          <w:highlight w:val="none"/>
          <w:u w:val="single"/>
          <w:shd w:val="clear" w:fill="FFFFFF"/>
          <w:lang w:val="en-US" w:eastAsia="zh-CN" w:bidi="ar"/>
        </w:rPr>
        <w:t>如与国家最新相关标准冲突的按标准较高的执行</w:t>
      </w:r>
      <w:r>
        <w:rPr>
          <w:rFonts w:hint="eastAsia" w:ascii="宋体" w:hAnsi="宋体" w:eastAsia="宋体" w:cs="宋体"/>
          <w:color w:val="auto"/>
          <w:kern w:val="0"/>
          <w:sz w:val="21"/>
          <w:szCs w:val="21"/>
          <w:highlight w:val="none"/>
          <w:u w:val="single"/>
          <w:lang w:val="en-US" w:eastAsia="zh-CN" w:bidi="ar"/>
        </w:rPr>
        <w:t xml:space="preserve">。     </w:t>
      </w:r>
    </w:p>
    <w:p w14:paraId="29D557CA">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承包人收到保修通知并到达工程现场的合理时间：</w:t>
      </w:r>
      <w:r>
        <w:rPr>
          <w:rFonts w:hint="eastAsia" w:ascii="宋体" w:hAnsi="宋体" w:eastAsia="宋体" w:cs="宋体"/>
          <w:color w:val="auto"/>
          <w:kern w:val="0"/>
          <w:sz w:val="21"/>
          <w:szCs w:val="21"/>
          <w:highlight w:val="none"/>
          <w:u w:val="single"/>
          <w:lang w:val="en-US" w:eastAsia="zh-CN" w:bidi="ar"/>
        </w:rPr>
        <w:t xml:space="preserve">   自承包人收到保修通知起24小时内到达工程现场。  </w:t>
      </w:r>
    </w:p>
    <w:p w14:paraId="7A998E99">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16. 违约</w:t>
      </w:r>
    </w:p>
    <w:p w14:paraId="77494DC1">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16.1 发包人违约</w:t>
      </w:r>
    </w:p>
    <w:p w14:paraId="4C6DC20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16.1.1发包人违约的情形</w:t>
      </w:r>
    </w:p>
    <w:p w14:paraId="0D7DF01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发包人违约的其他情形：</w:t>
      </w:r>
      <w:r>
        <w:rPr>
          <w:rFonts w:hint="eastAsia" w:ascii="宋体" w:hAnsi="宋体" w:eastAsia="宋体" w:cs="宋体"/>
          <w:color w:val="auto"/>
          <w:kern w:val="0"/>
          <w:sz w:val="21"/>
          <w:szCs w:val="21"/>
          <w:highlight w:val="none"/>
          <w:u w:val="single"/>
          <w:lang w:val="en-US" w:eastAsia="zh-CN" w:bidi="ar"/>
        </w:rPr>
        <w:t xml:space="preserve">   无    </w:t>
      </w:r>
      <w:r>
        <w:rPr>
          <w:rFonts w:hint="eastAsia" w:ascii="宋体" w:hAnsi="宋体" w:eastAsia="宋体" w:cs="宋体"/>
          <w:color w:val="auto"/>
          <w:kern w:val="0"/>
          <w:sz w:val="21"/>
          <w:szCs w:val="21"/>
          <w:highlight w:val="none"/>
          <w:lang w:val="en-US" w:eastAsia="zh-CN" w:bidi="ar"/>
        </w:rPr>
        <w:t>。</w:t>
      </w:r>
    </w:p>
    <w:p w14:paraId="5F15A51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16.1.2 发包人违约的责任</w:t>
      </w:r>
    </w:p>
    <w:p w14:paraId="2D040EF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发包人违约责任的承担方式和计算方法：</w:t>
      </w:r>
    </w:p>
    <w:p w14:paraId="3FDB219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（1）因发包人原因未能在计划开工日期前7天内下达开工通知的违约责任：</w:t>
      </w:r>
      <w:r>
        <w:rPr>
          <w:rFonts w:hint="eastAsia" w:ascii="宋体" w:hAnsi="宋体" w:eastAsia="宋体" w:cs="宋体"/>
          <w:color w:val="auto"/>
          <w:kern w:val="0"/>
          <w:sz w:val="21"/>
          <w:szCs w:val="21"/>
          <w:highlight w:val="none"/>
          <w:u w:val="single"/>
          <w:lang w:val="en-US" w:eastAsia="zh-CN" w:bidi="ar"/>
        </w:rPr>
        <w:t xml:space="preserve">  对工期造成影响的可顺延工期  </w:t>
      </w:r>
      <w:r>
        <w:rPr>
          <w:rFonts w:hint="eastAsia" w:ascii="宋体" w:hAnsi="宋体" w:eastAsia="宋体" w:cs="宋体"/>
          <w:color w:val="auto"/>
          <w:kern w:val="0"/>
          <w:sz w:val="21"/>
          <w:szCs w:val="21"/>
          <w:highlight w:val="none"/>
          <w:lang w:val="en-US" w:eastAsia="zh-CN" w:bidi="ar"/>
        </w:rPr>
        <w:t>。</w:t>
      </w:r>
    </w:p>
    <w:p w14:paraId="1F8FC893">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（2）因发包人原因未能按合同约定支付合同价款的违约责任：</w:t>
      </w:r>
      <w:r>
        <w:rPr>
          <w:rFonts w:hint="eastAsia" w:ascii="宋体" w:hAnsi="宋体" w:eastAsia="宋体" w:cs="宋体"/>
          <w:color w:val="auto"/>
          <w:kern w:val="0"/>
          <w:sz w:val="21"/>
          <w:szCs w:val="21"/>
          <w:highlight w:val="none"/>
          <w:u w:val="single"/>
          <w:lang w:val="en-US" w:eastAsia="zh-CN" w:bidi="ar"/>
        </w:rPr>
        <w:t xml:space="preserve">  可按照中国人民银行发布的同期同类贷款基准利率支付违约金</w:t>
      </w:r>
      <w:r>
        <w:rPr>
          <w:rFonts w:hint="eastAsia" w:ascii="宋体" w:hAnsi="宋体" w:eastAsia="宋体" w:cs="宋体"/>
          <w:color w:val="auto"/>
          <w:kern w:val="0"/>
          <w:sz w:val="21"/>
          <w:szCs w:val="21"/>
          <w:highlight w:val="none"/>
          <w:lang w:val="en-US" w:eastAsia="zh-CN" w:bidi="ar"/>
        </w:rPr>
        <w:t>。</w:t>
      </w:r>
    </w:p>
    <w:p w14:paraId="0C8E11FC">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（3）发包人违反第10.1款〔变更的范围〕第（2）项约定，自行实施被取消的工作或转由他人实施的违约责任：</w:t>
      </w:r>
      <w:r>
        <w:rPr>
          <w:rFonts w:hint="eastAsia" w:ascii="宋体" w:hAnsi="宋体" w:eastAsia="宋体" w:cs="宋体"/>
          <w:color w:val="auto"/>
          <w:kern w:val="0"/>
          <w:sz w:val="21"/>
          <w:szCs w:val="21"/>
          <w:highlight w:val="none"/>
          <w:u w:val="single"/>
          <w:lang w:val="en-US" w:eastAsia="zh-CN" w:bidi="ar"/>
        </w:rPr>
        <w:t xml:space="preserve">   发包人可追加与被取消的工作造价相当的额外工作做为补偿   </w:t>
      </w:r>
      <w:r>
        <w:rPr>
          <w:rFonts w:hint="eastAsia" w:ascii="宋体" w:hAnsi="宋体" w:eastAsia="宋体" w:cs="宋体"/>
          <w:color w:val="auto"/>
          <w:kern w:val="0"/>
          <w:sz w:val="21"/>
          <w:szCs w:val="21"/>
          <w:highlight w:val="none"/>
          <w:lang w:val="en-US" w:eastAsia="zh-CN" w:bidi="ar"/>
        </w:rPr>
        <w:t>。</w:t>
      </w:r>
    </w:p>
    <w:p w14:paraId="6BB619C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1"/>
          <w:szCs w:val="21"/>
          <w:highlight w:val="none"/>
          <w:u w:val="single"/>
          <w:lang w:val="en-US" w:eastAsia="zh-CN" w:bidi="ar"/>
        </w:rPr>
        <w:t xml:space="preserve">   发包人可补足或更换材料、工程设备；对工期造成延误的可以顺延；增加承包人成本的可予以补偿  </w:t>
      </w:r>
      <w:r>
        <w:rPr>
          <w:rFonts w:hint="eastAsia" w:ascii="宋体" w:hAnsi="宋体" w:eastAsia="宋体" w:cs="宋体"/>
          <w:color w:val="auto"/>
          <w:kern w:val="0"/>
          <w:sz w:val="21"/>
          <w:szCs w:val="21"/>
          <w:highlight w:val="none"/>
          <w:lang w:val="en-US" w:eastAsia="zh-CN" w:bidi="ar"/>
        </w:rPr>
        <w:t>。</w:t>
      </w:r>
    </w:p>
    <w:p w14:paraId="2DD8292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（5）因发包人违反合同约定造成暂停施工的违约责任：</w:t>
      </w:r>
      <w:r>
        <w:rPr>
          <w:rFonts w:hint="eastAsia" w:ascii="宋体" w:hAnsi="宋体" w:eastAsia="宋体" w:cs="宋体"/>
          <w:color w:val="auto"/>
          <w:kern w:val="0"/>
          <w:sz w:val="21"/>
          <w:szCs w:val="21"/>
          <w:highlight w:val="none"/>
          <w:u w:val="single"/>
          <w:lang w:val="en-US" w:eastAsia="zh-CN" w:bidi="ar"/>
        </w:rPr>
        <w:t xml:space="preserve">  可顺延工期  </w:t>
      </w:r>
      <w:r>
        <w:rPr>
          <w:rFonts w:hint="eastAsia" w:ascii="宋体" w:hAnsi="宋体" w:eastAsia="宋体" w:cs="宋体"/>
          <w:color w:val="auto"/>
          <w:kern w:val="0"/>
          <w:sz w:val="21"/>
          <w:szCs w:val="21"/>
          <w:highlight w:val="none"/>
          <w:lang w:val="en-US" w:eastAsia="zh-CN" w:bidi="ar"/>
        </w:rPr>
        <w:t>。</w:t>
      </w:r>
    </w:p>
    <w:p w14:paraId="46A6C46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（6）发包人无正当理由没有在约定期限内发出复工指示，导致承包人无法复工的违约责任：</w:t>
      </w:r>
      <w:r>
        <w:rPr>
          <w:rFonts w:hint="eastAsia" w:ascii="宋体" w:hAnsi="宋体" w:eastAsia="宋体" w:cs="宋体"/>
          <w:color w:val="auto"/>
          <w:kern w:val="0"/>
          <w:sz w:val="21"/>
          <w:szCs w:val="21"/>
          <w:highlight w:val="none"/>
          <w:u w:val="single"/>
          <w:lang w:val="en-US" w:eastAsia="zh-CN" w:bidi="ar"/>
        </w:rPr>
        <w:t xml:space="preserve"> 对工期造成影响的可顺延工期  </w:t>
      </w:r>
      <w:r>
        <w:rPr>
          <w:rFonts w:hint="eastAsia" w:ascii="宋体" w:hAnsi="宋体" w:eastAsia="宋体" w:cs="宋体"/>
          <w:color w:val="auto"/>
          <w:kern w:val="0"/>
          <w:sz w:val="21"/>
          <w:szCs w:val="21"/>
          <w:highlight w:val="none"/>
          <w:lang w:val="en-US" w:eastAsia="zh-CN" w:bidi="ar"/>
        </w:rPr>
        <w:t>。</w:t>
      </w:r>
    </w:p>
    <w:p w14:paraId="424060A6">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（7）其他：</w:t>
      </w:r>
      <w:r>
        <w:rPr>
          <w:rFonts w:hint="eastAsia" w:ascii="宋体" w:hAnsi="宋体" w:eastAsia="宋体" w:cs="宋体"/>
          <w:color w:val="auto"/>
          <w:kern w:val="0"/>
          <w:sz w:val="21"/>
          <w:szCs w:val="21"/>
          <w:highlight w:val="none"/>
          <w:u w:val="single"/>
          <w:lang w:val="en-US" w:eastAsia="zh-CN" w:bidi="ar"/>
        </w:rPr>
        <w:t xml:space="preserve">  无  </w:t>
      </w:r>
      <w:r>
        <w:rPr>
          <w:rFonts w:hint="eastAsia" w:ascii="宋体" w:hAnsi="宋体" w:eastAsia="宋体" w:cs="宋体"/>
          <w:color w:val="auto"/>
          <w:kern w:val="0"/>
          <w:sz w:val="21"/>
          <w:szCs w:val="21"/>
          <w:highlight w:val="none"/>
          <w:lang w:val="en-US" w:eastAsia="zh-CN" w:bidi="ar"/>
        </w:rPr>
        <w:t>。</w:t>
      </w:r>
    </w:p>
    <w:p w14:paraId="2C6ABF50">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16.1.3 因发包人违约解除合同</w:t>
      </w:r>
    </w:p>
    <w:p w14:paraId="34E7B4B4">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承包人按16.1.1项〔发包人违约的情形〕约定暂停施工满</w:t>
      </w:r>
      <w:r>
        <w:rPr>
          <w:rFonts w:hint="eastAsia" w:ascii="宋体" w:hAnsi="宋体" w:eastAsia="宋体" w:cs="宋体"/>
          <w:color w:val="auto"/>
          <w:kern w:val="0"/>
          <w:sz w:val="21"/>
          <w:szCs w:val="21"/>
          <w:highlight w:val="none"/>
          <w:u w:val="single"/>
          <w:lang w:val="en-US" w:eastAsia="zh-CN" w:bidi="ar"/>
        </w:rPr>
        <w:t xml:space="preserve">  28  </w:t>
      </w:r>
      <w:r>
        <w:rPr>
          <w:rFonts w:hint="eastAsia" w:ascii="宋体" w:hAnsi="宋体" w:eastAsia="宋体" w:cs="宋体"/>
          <w:color w:val="auto"/>
          <w:kern w:val="0"/>
          <w:sz w:val="21"/>
          <w:szCs w:val="21"/>
          <w:highlight w:val="none"/>
          <w:lang w:val="en-US" w:eastAsia="zh-CN" w:bidi="ar"/>
        </w:rPr>
        <w:t>天后发包人仍不纠正其违约行为并致使合同目的不能实现的，承包人有权解除合同。</w:t>
      </w:r>
    </w:p>
    <w:p w14:paraId="4C28A0E8">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16.2 承包人违约</w:t>
      </w:r>
    </w:p>
    <w:p w14:paraId="5D83399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16.2.1 承包人违约的情形</w:t>
      </w:r>
    </w:p>
    <w:p w14:paraId="5E2BACC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承包人违约的其他情形：</w:t>
      </w:r>
      <w:r>
        <w:rPr>
          <w:rFonts w:hint="eastAsia" w:ascii="宋体" w:hAnsi="宋体" w:eastAsia="宋体" w:cs="宋体"/>
          <w:color w:val="auto"/>
          <w:kern w:val="0"/>
          <w:sz w:val="21"/>
          <w:szCs w:val="21"/>
          <w:highlight w:val="none"/>
          <w:u w:val="single"/>
          <w:lang w:val="en-US" w:eastAsia="zh-CN" w:bidi="ar"/>
        </w:rPr>
        <w:t xml:space="preserve">   执行补充条款   </w:t>
      </w:r>
      <w:r>
        <w:rPr>
          <w:rFonts w:hint="eastAsia" w:ascii="宋体" w:hAnsi="宋体" w:eastAsia="宋体" w:cs="宋体"/>
          <w:color w:val="auto"/>
          <w:kern w:val="0"/>
          <w:sz w:val="21"/>
          <w:szCs w:val="21"/>
          <w:highlight w:val="none"/>
          <w:lang w:val="en-US" w:eastAsia="zh-CN" w:bidi="ar"/>
        </w:rPr>
        <w:t>。</w:t>
      </w:r>
    </w:p>
    <w:p w14:paraId="239EBFC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16.2.2承包人违约的责任</w:t>
      </w:r>
    </w:p>
    <w:p w14:paraId="1A9ED6DD">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承包人违约责任的承担方式和计算方法：</w:t>
      </w:r>
      <w:r>
        <w:rPr>
          <w:rFonts w:hint="eastAsia" w:ascii="宋体" w:hAnsi="宋体" w:eastAsia="宋体" w:cs="宋体"/>
          <w:color w:val="auto"/>
          <w:kern w:val="0"/>
          <w:sz w:val="21"/>
          <w:szCs w:val="21"/>
          <w:highlight w:val="none"/>
          <w:u w:val="single"/>
          <w:lang w:val="en-US" w:eastAsia="zh-CN" w:bidi="ar"/>
        </w:rPr>
        <w:t xml:space="preserve"> 执行补充条款   </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 xml:space="preserve">    </w:t>
      </w:r>
    </w:p>
    <w:p w14:paraId="2CC6B57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16.2.3 因承包人违约解除合同</w:t>
      </w:r>
    </w:p>
    <w:p w14:paraId="232B4DD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关于承包人违约解除合同的特别约定：</w:t>
      </w:r>
      <w:r>
        <w:rPr>
          <w:rFonts w:hint="eastAsia" w:ascii="宋体" w:hAnsi="宋体" w:eastAsia="宋体" w:cs="宋体"/>
          <w:color w:val="auto"/>
          <w:kern w:val="0"/>
          <w:sz w:val="21"/>
          <w:szCs w:val="21"/>
          <w:highlight w:val="none"/>
          <w:u w:val="single"/>
          <w:lang w:val="en-US" w:eastAsia="zh-CN" w:bidi="ar"/>
        </w:rPr>
        <w:t>执行</w:t>
      </w:r>
      <w:r>
        <w:rPr>
          <w:rFonts w:hint="eastAsia" w:ascii="宋体" w:hAnsi="宋体" w:eastAsia="宋体" w:cs="宋体"/>
          <w:color w:val="auto"/>
          <w:kern w:val="2"/>
          <w:sz w:val="21"/>
          <w:szCs w:val="21"/>
          <w:highlight w:val="none"/>
          <w:u w:val="single"/>
          <w:lang w:val="en-US" w:eastAsia="zh-CN" w:bidi="ar"/>
        </w:rPr>
        <w:t>补充条款。</w:t>
      </w:r>
    </w:p>
    <w:p w14:paraId="28CF0D3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1"/>
          <w:szCs w:val="21"/>
          <w:highlight w:val="none"/>
          <w:u w:val="single"/>
          <w:lang w:val="en-US" w:eastAsia="zh-CN" w:bidi="ar"/>
        </w:rPr>
        <w:t xml:space="preserve">   发包人不承担费用   </w:t>
      </w:r>
      <w:r>
        <w:rPr>
          <w:rFonts w:hint="eastAsia" w:ascii="宋体" w:hAnsi="宋体" w:eastAsia="宋体" w:cs="宋体"/>
          <w:color w:val="auto"/>
          <w:kern w:val="0"/>
          <w:sz w:val="21"/>
          <w:szCs w:val="21"/>
          <w:highlight w:val="none"/>
          <w:lang w:val="en-US" w:eastAsia="zh-CN" w:bidi="ar"/>
        </w:rPr>
        <w:t>。</w:t>
      </w:r>
    </w:p>
    <w:p w14:paraId="020BD656">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 xml:space="preserve">17. 不可抗力 </w:t>
      </w:r>
    </w:p>
    <w:p w14:paraId="76728199">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17.1 不可抗力的确认</w:t>
      </w:r>
    </w:p>
    <w:p w14:paraId="591F0EE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2"/>
          <w:sz w:val="21"/>
          <w:szCs w:val="21"/>
          <w:highlight w:val="none"/>
          <w:lang w:val="en-US" w:eastAsia="zh-CN" w:bidi="ar"/>
        </w:rPr>
        <w:t>除通用合同条款约定的不可抗力事件之外，视为不可抗力的其他情形：</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无</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20A618DC">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17.4 因不可抗力解除合同</w:t>
      </w:r>
    </w:p>
    <w:p w14:paraId="3D739A61">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合同解除后，发包人应在</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完成款项的支付。</w:t>
      </w:r>
    </w:p>
    <w:p w14:paraId="2260F2FF">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18. 保险</w:t>
      </w:r>
    </w:p>
    <w:p w14:paraId="5DB1EB1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18.1 工程保险</w:t>
      </w:r>
    </w:p>
    <w:p w14:paraId="05740323">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关于工程保险的特别约定：</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7173782B">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18.3 其他保险</w:t>
      </w:r>
    </w:p>
    <w:p w14:paraId="05DE9B5F">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关于其他保险的约定：</w:t>
      </w:r>
      <w:r>
        <w:rPr>
          <w:rFonts w:hint="eastAsia" w:ascii="宋体" w:hAnsi="宋体" w:eastAsia="宋体" w:cs="宋体"/>
          <w:color w:val="auto"/>
          <w:kern w:val="0"/>
          <w:sz w:val="21"/>
          <w:szCs w:val="21"/>
          <w:highlight w:val="none"/>
          <w:u w:val="single"/>
          <w:lang w:val="en-US" w:eastAsia="zh-CN" w:bidi="ar"/>
        </w:rPr>
        <w:t xml:space="preserve"> 执行国家、省、市有关规定</w:t>
      </w:r>
    </w:p>
    <w:p w14:paraId="0BF6AA28">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承包人是否应为其施工设备等办理财产保险：</w:t>
      </w:r>
      <w:r>
        <w:rPr>
          <w:rFonts w:hint="eastAsia" w:ascii="宋体" w:hAnsi="宋体" w:eastAsia="宋体" w:cs="宋体"/>
          <w:color w:val="auto"/>
          <w:kern w:val="2"/>
          <w:sz w:val="21"/>
          <w:szCs w:val="21"/>
          <w:highlight w:val="none"/>
          <w:u w:val="single"/>
          <w:lang w:val="en-US" w:eastAsia="zh-CN" w:bidi="ar"/>
        </w:rPr>
        <w:t xml:space="preserve"> 承包人应为其施工设备等办理财产保险。</w:t>
      </w:r>
    </w:p>
    <w:p w14:paraId="7F2DFD75">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18.7 通知义务</w:t>
      </w:r>
    </w:p>
    <w:p w14:paraId="75837CC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bidi="ar"/>
        </w:rPr>
        <w:t>关于变更保险合同时的通知义务的约定：</w:t>
      </w:r>
      <w:r>
        <w:rPr>
          <w:rFonts w:hint="eastAsia" w:ascii="宋体" w:hAnsi="宋体" w:eastAsia="宋体" w:cs="宋体"/>
          <w:color w:val="auto"/>
          <w:kern w:val="0"/>
          <w:sz w:val="21"/>
          <w:szCs w:val="21"/>
          <w:highlight w:val="none"/>
          <w:u w:val="single"/>
          <w:lang w:val="en-US" w:eastAsia="zh-CN" w:bidi="ar"/>
        </w:rPr>
        <w:t>发包人变更除工伤保险之外的保险合同时，应事先征得承包人同意，并通知监理人；承包人变更除工伤保险之外的保险合同时，应事先征得发包人同意，并通知监理人。</w:t>
      </w:r>
    </w:p>
    <w:p w14:paraId="0686253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lang w:val="en-US" w:eastAsia="zh-CN" w:bidi="ar"/>
        </w:rPr>
        <w:t>保险事故发生时，投保人应按照保险合同规定的条件和期限及时向保险人报告。发包人和承包人应当在知道保险事故发生后及时通知对方。</w:t>
      </w:r>
    </w:p>
    <w:p w14:paraId="2B8D6D3D">
      <w:pPr>
        <w:pStyle w:val="9"/>
        <w:widowControl/>
        <w:snapToGrid w:val="0"/>
        <w:spacing w:before="0" w:beforeAutospacing="0" w:after="0" w:afterAutospacing="0" w:line="440" w:lineRule="exact"/>
        <w:ind w:left="0" w:firstLine="420" w:firstLineChars="200"/>
        <w:rPr>
          <w:rFonts w:hint="eastAsia" w:ascii="宋体" w:hAnsi="Arial"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rPr>
        <w:t>20. 争议解决</w:t>
      </w:r>
    </w:p>
    <w:p w14:paraId="7272DF07">
      <w:pPr>
        <w:keepNext w:val="0"/>
        <w:keepLines w:val="0"/>
        <w:widowControl w:val="0"/>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20.3 争议评审</w:t>
      </w:r>
    </w:p>
    <w:p w14:paraId="36CA1C2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合同当事人是否同意将工程争议提交争议评审小组决定：</w:t>
      </w:r>
      <w:r>
        <w:rPr>
          <w:rFonts w:hint="eastAsia" w:ascii="宋体" w:hAnsi="宋体" w:eastAsia="宋体" w:cs="宋体"/>
          <w:color w:val="auto"/>
          <w:kern w:val="2"/>
          <w:sz w:val="21"/>
          <w:szCs w:val="21"/>
          <w:highlight w:val="none"/>
          <w:u w:val="single"/>
          <w:lang w:val="en-US" w:eastAsia="zh-CN" w:bidi="ar"/>
        </w:rPr>
        <w:t xml:space="preserve">  不同意   </w:t>
      </w:r>
      <w:r>
        <w:rPr>
          <w:rFonts w:hint="eastAsia" w:ascii="宋体" w:hAnsi="宋体" w:eastAsia="宋体" w:cs="宋体"/>
          <w:color w:val="auto"/>
          <w:kern w:val="2"/>
          <w:sz w:val="21"/>
          <w:szCs w:val="21"/>
          <w:highlight w:val="none"/>
          <w:lang w:val="en-US" w:eastAsia="zh-CN" w:bidi="ar"/>
        </w:rPr>
        <w:t xml:space="preserve">。  </w:t>
      </w:r>
    </w:p>
    <w:p w14:paraId="3462D76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20.3.1 争议评审小组的确定</w:t>
      </w:r>
    </w:p>
    <w:p w14:paraId="38C164E9">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争议评审小组成员的确定：</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488BBD02">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选定争议评审员的期限：</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21C6571E">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争议评审小组成员的报酬承担方式：</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1D463454">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其他事项的约定：</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5BDE047C">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20.3.2 争议评审小组的决定</w:t>
      </w:r>
    </w:p>
    <w:p w14:paraId="3E9E4D45">
      <w:pPr>
        <w:keepNext w:val="0"/>
        <w:keepLines w:val="0"/>
        <w:widowControl w:val="0"/>
        <w:suppressLineNumbers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合同当事人关于本项的约定：</w:t>
      </w:r>
      <w:r>
        <w:rPr>
          <w:rFonts w:hint="eastAsia" w:ascii="宋体" w:hAnsi="宋体" w:eastAsia="宋体" w:cs="宋体"/>
          <w:color w:val="auto"/>
          <w:kern w:val="2"/>
          <w:sz w:val="21"/>
          <w:szCs w:val="21"/>
          <w:highlight w:val="none"/>
          <w:u w:val="single"/>
          <w:lang w:val="en-US" w:eastAsia="zh-CN" w:bidi="ar"/>
        </w:rPr>
        <w:t xml:space="preserve">  无   </w:t>
      </w:r>
      <w:r>
        <w:rPr>
          <w:rFonts w:hint="eastAsia" w:ascii="宋体" w:hAnsi="宋体" w:eastAsia="宋体" w:cs="宋体"/>
          <w:color w:val="auto"/>
          <w:kern w:val="2"/>
          <w:sz w:val="21"/>
          <w:szCs w:val="21"/>
          <w:highlight w:val="none"/>
          <w:lang w:val="en-US" w:eastAsia="zh-CN" w:bidi="ar"/>
        </w:rPr>
        <w:t>。</w:t>
      </w:r>
    </w:p>
    <w:p w14:paraId="023FC272">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20.4仲裁或诉讼</w:t>
      </w:r>
    </w:p>
    <w:p w14:paraId="5A8BCC9D">
      <w:pPr>
        <w:keepNext w:val="0"/>
        <w:keepLines w:val="0"/>
        <w:widowControl w:val="0"/>
        <w:suppressLineNumbers w:val="0"/>
        <w:autoSpaceDE w:val="0"/>
        <w:autoSpaceDN w:val="0"/>
        <w:adjustRightInd w:val="0"/>
        <w:snapToGrid w:val="0"/>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因合同及合同有关事项发生的争议，按下列第</w:t>
      </w:r>
      <w:r>
        <w:rPr>
          <w:rFonts w:hint="eastAsia" w:ascii="宋体" w:hAnsi="宋体" w:eastAsia="宋体" w:cs="宋体"/>
          <w:color w:val="auto"/>
          <w:kern w:val="0"/>
          <w:sz w:val="21"/>
          <w:szCs w:val="21"/>
          <w:highlight w:val="none"/>
          <w:u w:val="single"/>
          <w:lang w:val="en-US" w:eastAsia="zh-CN" w:bidi="ar"/>
        </w:rPr>
        <w:t xml:space="preserve">  （2）   </w:t>
      </w:r>
      <w:r>
        <w:rPr>
          <w:rFonts w:hint="eastAsia" w:ascii="宋体" w:hAnsi="宋体" w:eastAsia="宋体" w:cs="宋体"/>
          <w:color w:val="auto"/>
          <w:kern w:val="0"/>
          <w:sz w:val="21"/>
          <w:szCs w:val="21"/>
          <w:highlight w:val="none"/>
          <w:lang w:val="en-US" w:eastAsia="zh-CN" w:bidi="ar"/>
        </w:rPr>
        <w:t>种方式解决：</w:t>
      </w:r>
    </w:p>
    <w:p w14:paraId="02F36E6E">
      <w:pPr>
        <w:keepNext w:val="0"/>
        <w:keepLines w:val="0"/>
        <w:widowControl w:val="0"/>
        <w:suppressLineNumbers w:val="0"/>
        <w:autoSpaceDE w:val="0"/>
        <w:autoSpaceDN w:val="0"/>
        <w:adjustRightInd w:val="0"/>
        <w:snapToGrid w:val="0"/>
        <w:spacing w:before="0" w:beforeAutospacing="0" w:after="0" w:afterAutospacing="0" w:line="440" w:lineRule="exact"/>
        <w:ind w:left="420" w:leftChars="20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（1）向</w:t>
      </w:r>
      <w:r>
        <w:rPr>
          <w:rFonts w:hint="eastAsia" w:ascii="宋体" w:hAnsi="宋体" w:eastAsia="宋体" w:cs="宋体"/>
          <w:color w:val="auto"/>
          <w:kern w:val="0"/>
          <w:sz w:val="21"/>
          <w:szCs w:val="21"/>
          <w:highlight w:val="none"/>
          <w:u w:val="single"/>
          <w:lang w:val="en-US" w:eastAsia="zh-CN" w:bidi="ar"/>
        </w:rPr>
        <w:t xml:space="preserve">  滁州  </w:t>
      </w:r>
      <w:r>
        <w:rPr>
          <w:rFonts w:hint="eastAsia" w:ascii="宋体" w:hAnsi="宋体" w:eastAsia="宋体" w:cs="宋体"/>
          <w:color w:val="auto"/>
          <w:kern w:val="0"/>
          <w:sz w:val="21"/>
          <w:szCs w:val="21"/>
          <w:highlight w:val="none"/>
          <w:lang w:val="en-US" w:eastAsia="zh-CN" w:bidi="ar"/>
        </w:rPr>
        <w:t>仲裁委员会申请仲裁；</w:t>
      </w:r>
    </w:p>
    <w:p w14:paraId="27258F72">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leftChars="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0"/>
          <w:sz w:val="21"/>
          <w:szCs w:val="21"/>
          <w:highlight w:val="none"/>
        </w:rPr>
        <w:t>（2）向</w:t>
      </w:r>
      <w:r>
        <w:rPr>
          <w:rFonts w:hint="eastAsia" w:ascii="宋体" w:hAnsi="宋体" w:eastAsia="宋体" w:cs="宋体"/>
          <w:color w:val="auto"/>
          <w:kern w:val="0"/>
          <w:sz w:val="21"/>
          <w:szCs w:val="21"/>
          <w:highlight w:val="none"/>
          <w:u w:val="single"/>
        </w:rPr>
        <w:t xml:space="preserve">  工程所在地  </w:t>
      </w:r>
      <w:r>
        <w:rPr>
          <w:rFonts w:hint="eastAsia" w:ascii="宋体" w:hAnsi="宋体" w:eastAsia="宋体" w:cs="宋体"/>
          <w:color w:val="auto"/>
          <w:kern w:val="0"/>
          <w:sz w:val="21"/>
          <w:szCs w:val="21"/>
          <w:highlight w:val="none"/>
        </w:rPr>
        <w:t>人民法院起诉。</w:t>
      </w:r>
    </w:p>
    <w:p w14:paraId="63C48556">
      <w:pPr>
        <w:pStyle w:val="42"/>
        <w:keepNext w:val="0"/>
        <w:keepLines w:val="0"/>
        <w:widowControl w:val="0"/>
        <w:suppressLineNumbers w:val="0"/>
        <w:spacing w:before="0" w:beforeAutospacing="1" w:after="0" w:afterLines="0" w:afterAutospacing="0" w:line="440" w:lineRule="exact"/>
        <w:ind w:left="0" w:leftChars="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br w:type="page"/>
      </w:r>
    </w:p>
    <w:bookmarkEnd w:id="901"/>
    <w:p w14:paraId="45E03395">
      <w:pPr>
        <w:keepNext/>
        <w:keepLines/>
        <w:spacing w:before="120" w:after="120" w:line="360" w:lineRule="auto"/>
        <w:jc w:val="left"/>
        <w:outlineLvl w:val="2"/>
        <w:rPr>
          <w:rFonts w:hint="eastAsia" w:ascii="宋体" w:hAnsi="宋体" w:cs="宋体"/>
          <w:bCs/>
          <w:color w:val="auto"/>
          <w:sz w:val="24"/>
          <w:highlight w:val="none"/>
        </w:rPr>
      </w:pPr>
      <w:bookmarkStart w:id="915" w:name="_Toc95223490"/>
      <w:r>
        <w:rPr>
          <w:rFonts w:hint="eastAsia" w:ascii="宋体" w:hAnsi="宋体" w:cs="宋体"/>
          <w:bCs/>
          <w:color w:val="auto"/>
          <w:sz w:val="24"/>
          <w:highlight w:val="none"/>
        </w:rPr>
        <w:t>工程质量保修书</w:t>
      </w:r>
    </w:p>
    <w:p w14:paraId="5BFAB746">
      <w:pPr>
        <w:adjustRightInd w:val="0"/>
        <w:snapToGrid w:val="0"/>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工程质量保修书</w:t>
      </w:r>
    </w:p>
    <w:p w14:paraId="1BF6BEF7">
      <w:pPr>
        <w:adjustRightInd w:val="0"/>
        <w:snapToGrid w:val="0"/>
        <w:spacing w:line="360" w:lineRule="auto"/>
        <w:ind w:firstLine="420" w:firstLineChars="200"/>
        <w:rPr>
          <w:rFonts w:hint="eastAsia" w:ascii="宋体" w:hAnsi="宋体" w:cs="宋体"/>
          <w:color w:val="auto"/>
          <w:kern w:val="0"/>
          <w:position w:val="14"/>
          <w:szCs w:val="21"/>
          <w:highlight w:val="none"/>
        </w:rPr>
      </w:pPr>
      <w:r>
        <w:rPr>
          <w:rFonts w:hint="eastAsia" w:ascii="宋体" w:hAnsi="宋体" w:cs="宋体"/>
          <w:bCs/>
          <w:color w:val="auto"/>
          <w:kern w:val="0"/>
          <w:position w:val="14"/>
          <w:szCs w:val="21"/>
          <w:highlight w:val="none"/>
        </w:rPr>
        <w:t>发包人</w:t>
      </w:r>
      <w:r>
        <w:rPr>
          <w:rFonts w:hint="eastAsia" w:ascii="宋体" w:hAnsi="宋体" w:cs="宋体"/>
          <w:color w:val="auto"/>
          <w:kern w:val="0"/>
          <w:position w:val="14"/>
          <w:szCs w:val="21"/>
          <w:highlight w:val="none"/>
        </w:rPr>
        <w:t>：_______________________________</w:t>
      </w:r>
    </w:p>
    <w:p w14:paraId="1C87623A">
      <w:pPr>
        <w:widowControl/>
        <w:adjustRightInd w:val="0"/>
        <w:snapToGrid w:val="0"/>
        <w:spacing w:line="360" w:lineRule="auto"/>
        <w:ind w:firstLine="420" w:firstLineChars="200"/>
        <w:jc w:val="left"/>
        <w:rPr>
          <w:rFonts w:hint="eastAsia" w:ascii="宋体" w:hAnsi="宋体" w:cs="宋体"/>
          <w:color w:val="auto"/>
          <w:kern w:val="0"/>
          <w:position w:val="14"/>
          <w:szCs w:val="21"/>
          <w:highlight w:val="none"/>
        </w:rPr>
      </w:pPr>
      <w:r>
        <w:rPr>
          <w:rFonts w:hint="eastAsia" w:ascii="宋体" w:hAnsi="宋体" w:cs="宋体"/>
          <w:bCs/>
          <w:color w:val="auto"/>
          <w:kern w:val="0"/>
          <w:position w:val="14"/>
          <w:szCs w:val="21"/>
          <w:highlight w:val="none"/>
        </w:rPr>
        <w:t>承包人</w:t>
      </w:r>
      <w:r>
        <w:rPr>
          <w:rFonts w:hint="eastAsia" w:ascii="宋体" w:hAnsi="宋体" w:cs="宋体"/>
          <w:color w:val="auto"/>
          <w:kern w:val="0"/>
          <w:position w:val="14"/>
          <w:szCs w:val="21"/>
          <w:highlight w:val="none"/>
        </w:rPr>
        <w:t>：_______________________________</w:t>
      </w:r>
    </w:p>
    <w:p w14:paraId="2F1C5501">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发包人和承包人根据《中华人民共和国建筑法》和《建设工程质量管理条例》，经协商一致就______________________工程签订工程质量保修书。</w:t>
      </w:r>
    </w:p>
    <w:p w14:paraId="49E666DB">
      <w:pPr>
        <w:widowControl/>
        <w:adjustRightInd w:val="0"/>
        <w:snapToGrid w:val="0"/>
        <w:spacing w:line="360" w:lineRule="auto"/>
        <w:ind w:firstLine="422" w:firstLineChars="200"/>
        <w:jc w:val="left"/>
        <w:rPr>
          <w:rFonts w:hint="eastAsia" w:ascii="宋体" w:hAnsi="宋体" w:cs="宋体"/>
          <w:b/>
          <w:bCs/>
          <w:color w:val="auto"/>
          <w:kern w:val="0"/>
          <w:position w:val="6"/>
          <w:szCs w:val="21"/>
          <w:highlight w:val="none"/>
        </w:rPr>
      </w:pPr>
      <w:r>
        <w:rPr>
          <w:rFonts w:hint="eastAsia" w:ascii="宋体" w:hAnsi="宋体" w:cs="宋体"/>
          <w:b/>
          <w:bCs/>
          <w:color w:val="auto"/>
          <w:kern w:val="0"/>
          <w:position w:val="6"/>
          <w:szCs w:val="21"/>
          <w:highlight w:val="none"/>
        </w:rPr>
        <w:t>一、工程质量保修范围和内容</w:t>
      </w:r>
    </w:p>
    <w:p w14:paraId="65AC3761">
      <w:pPr>
        <w:adjustRightInd w:val="0"/>
        <w:snapToGrid w:val="0"/>
        <w:spacing w:line="360" w:lineRule="auto"/>
        <w:ind w:firstLine="420" w:firstLineChars="200"/>
        <w:jc w:val="left"/>
        <w:rPr>
          <w:rFonts w:hint="eastAsia" w:ascii="宋体" w:hAnsi="宋体" w:cs="宋体"/>
          <w:color w:val="auto"/>
          <w:position w:val="6"/>
          <w:szCs w:val="21"/>
          <w:highlight w:val="none"/>
        </w:rPr>
      </w:pPr>
      <w:r>
        <w:rPr>
          <w:rFonts w:hint="eastAsia" w:ascii="宋体" w:hAnsi="宋体" w:cs="宋体"/>
          <w:color w:val="auto"/>
          <w:position w:val="6"/>
          <w:szCs w:val="21"/>
          <w:highlight w:val="none"/>
        </w:rPr>
        <w:t>按照《建设工程质量管理条例》及有关法律、法规、规章的管理规定和双方约定由施工单位在质量保修期内，承担本工程质量保修责任。</w:t>
      </w:r>
    </w:p>
    <w:p w14:paraId="6E8F3FA2">
      <w:pPr>
        <w:adjustRightInd w:val="0"/>
        <w:snapToGrid w:val="0"/>
        <w:spacing w:line="360" w:lineRule="auto"/>
        <w:ind w:firstLine="420" w:firstLineChars="200"/>
        <w:jc w:val="left"/>
        <w:rPr>
          <w:rFonts w:hint="eastAsia" w:ascii="宋体" w:hAnsi="宋体" w:cs="宋体"/>
          <w:color w:val="auto"/>
          <w:position w:val="6"/>
          <w:szCs w:val="21"/>
          <w:highlight w:val="none"/>
        </w:rPr>
      </w:pPr>
      <w:r>
        <w:rPr>
          <w:rFonts w:hint="eastAsia" w:ascii="宋体" w:hAnsi="宋体" w:cs="宋体"/>
          <w:color w:val="auto"/>
          <w:position w:val="6"/>
          <w:szCs w:val="21"/>
          <w:highlight w:val="none"/>
        </w:rPr>
        <w:t>质量保修范围和内容：</w:t>
      </w:r>
    </w:p>
    <w:p w14:paraId="1A1C4DF7">
      <w:pPr>
        <w:adjustRightInd w:val="0"/>
        <w:snapToGrid w:val="0"/>
        <w:spacing w:line="360" w:lineRule="auto"/>
        <w:ind w:firstLine="420" w:firstLineChars="200"/>
        <w:jc w:val="left"/>
        <w:rPr>
          <w:rFonts w:hint="eastAsia" w:ascii="宋体" w:hAnsi="宋体" w:cs="宋体"/>
          <w:color w:val="auto"/>
          <w:position w:val="6"/>
          <w:szCs w:val="21"/>
          <w:highlight w:val="none"/>
        </w:rPr>
      </w:pPr>
      <w:r>
        <w:rPr>
          <w:rFonts w:hint="eastAsia" w:ascii="宋体" w:hAnsi="宋体" w:cs="宋体"/>
          <w:color w:val="auto"/>
          <w:position w:val="6"/>
          <w:szCs w:val="21"/>
          <w:highlight w:val="none"/>
        </w:rPr>
        <w:t>合同文件中明确的全部内容（含设计变更及签证以及决算中所含的全部内容）</w:t>
      </w:r>
      <w:r>
        <w:rPr>
          <w:rFonts w:hint="eastAsia" w:ascii="宋体" w:hAnsi="宋体" w:cs="宋体"/>
          <w:bCs/>
          <w:color w:val="auto"/>
          <w:kern w:val="0"/>
          <w:position w:val="6"/>
          <w:szCs w:val="21"/>
          <w:highlight w:val="none"/>
        </w:rPr>
        <w:t>。</w:t>
      </w:r>
    </w:p>
    <w:p w14:paraId="5CD3105A">
      <w:pPr>
        <w:widowControl/>
        <w:adjustRightInd w:val="0"/>
        <w:snapToGrid w:val="0"/>
        <w:spacing w:line="360" w:lineRule="auto"/>
        <w:ind w:firstLine="422" w:firstLineChars="200"/>
        <w:jc w:val="left"/>
        <w:rPr>
          <w:rFonts w:hint="eastAsia" w:ascii="宋体" w:hAnsi="宋体" w:cs="宋体"/>
          <w:b/>
          <w:bCs/>
          <w:color w:val="auto"/>
          <w:kern w:val="0"/>
          <w:position w:val="6"/>
          <w:szCs w:val="21"/>
          <w:highlight w:val="none"/>
        </w:rPr>
      </w:pPr>
      <w:r>
        <w:rPr>
          <w:rFonts w:hint="eastAsia" w:ascii="宋体" w:hAnsi="宋体" w:cs="宋体"/>
          <w:b/>
          <w:bCs/>
          <w:color w:val="auto"/>
          <w:kern w:val="0"/>
          <w:position w:val="6"/>
          <w:szCs w:val="21"/>
          <w:highlight w:val="none"/>
        </w:rPr>
        <w:t>二、质量保修期</w:t>
      </w:r>
    </w:p>
    <w:p w14:paraId="3B51CACA">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双方根据《建设工程质量管理条例》及有关规定，约定本工程的质量保修期如下：</w:t>
      </w:r>
    </w:p>
    <w:p w14:paraId="597EF551">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1、地基基础工程和主体结构工程为设计文件规定的该工程合理使用年限；</w:t>
      </w:r>
    </w:p>
    <w:p w14:paraId="592E0CCD">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2、屋面防水工程、有防水要求的卫生间、房间的外墙面的防渗漏为5年；</w:t>
      </w:r>
    </w:p>
    <w:p w14:paraId="47B48D1E">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3、装修工程为</w:t>
      </w:r>
      <w:r>
        <w:rPr>
          <w:rFonts w:hint="eastAsia" w:ascii="宋体" w:hAnsi="宋体" w:cs="宋体"/>
          <w:color w:val="auto"/>
          <w:kern w:val="0"/>
          <w:position w:val="6"/>
          <w:szCs w:val="21"/>
          <w:highlight w:val="none"/>
          <w:u w:val="single"/>
        </w:rPr>
        <w:t>  2 </w:t>
      </w:r>
      <w:r>
        <w:rPr>
          <w:rFonts w:hint="eastAsia" w:ascii="宋体" w:hAnsi="宋体" w:cs="宋体"/>
          <w:color w:val="auto"/>
          <w:kern w:val="0"/>
          <w:position w:val="6"/>
          <w:szCs w:val="21"/>
          <w:highlight w:val="none"/>
        </w:rPr>
        <w:t>年；</w:t>
      </w:r>
    </w:p>
    <w:p w14:paraId="3E3E5DA3">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4、电气管线、给排水管道、设备安装工程为</w:t>
      </w:r>
      <w:r>
        <w:rPr>
          <w:rFonts w:hint="eastAsia" w:ascii="宋体" w:hAnsi="宋体" w:cs="宋体"/>
          <w:color w:val="auto"/>
          <w:kern w:val="0"/>
          <w:position w:val="6"/>
          <w:szCs w:val="21"/>
          <w:highlight w:val="none"/>
          <w:u w:val="single"/>
        </w:rPr>
        <w:t>  2 </w:t>
      </w:r>
      <w:r>
        <w:rPr>
          <w:rFonts w:hint="eastAsia" w:ascii="宋体" w:hAnsi="宋体" w:cs="宋体"/>
          <w:color w:val="auto"/>
          <w:kern w:val="0"/>
          <w:position w:val="6"/>
          <w:szCs w:val="21"/>
          <w:highlight w:val="none"/>
        </w:rPr>
        <w:t>年；</w:t>
      </w:r>
    </w:p>
    <w:p w14:paraId="272FA72F">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5、供热与供冷系统为</w:t>
      </w:r>
      <w:r>
        <w:rPr>
          <w:rFonts w:hint="eastAsia" w:ascii="宋体" w:hAnsi="宋体" w:cs="宋体"/>
          <w:color w:val="auto"/>
          <w:kern w:val="0"/>
          <w:position w:val="6"/>
          <w:szCs w:val="21"/>
          <w:highlight w:val="none"/>
          <w:u w:val="single"/>
        </w:rPr>
        <w:t> 2个采暖期、供冷期</w:t>
      </w:r>
      <w:r>
        <w:rPr>
          <w:rFonts w:hint="eastAsia" w:ascii="宋体" w:hAnsi="宋体" w:cs="宋体"/>
          <w:color w:val="auto"/>
          <w:kern w:val="0"/>
          <w:position w:val="6"/>
          <w:szCs w:val="21"/>
          <w:highlight w:val="none"/>
          <w:u w:val="single"/>
          <w:lang w:val="en-US" w:eastAsia="zh-CN"/>
        </w:rPr>
        <w:t xml:space="preserve"> </w:t>
      </w:r>
      <w:r>
        <w:rPr>
          <w:rFonts w:hint="eastAsia" w:ascii="宋体" w:hAnsi="宋体" w:cs="宋体"/>
          <w:color w:val="auto"/>
          <w:kern w:val="0"/>
          <w:position w:val="6"/>
          <w:szCs w:val="21"/>
          <w:highlight w:val="none"/>
        </w:rPr>
        <w:t>；</w:t>
      </w:r>
    </w:p>
    <w:p w14:paraId="7ADA8537">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6、给排水设施、道路等配套工程为</w:t>
      </w:r>
      <w:r>
        <w:rPr>
          <w:rFonts w:hint="eastAsia" w:ascii="宋体" w:hAnsi="宋体" w:cs="宋体"/>
          <w:color w:val="auto"/>
          <w:kern w:val="0"/>
          <w:position w:val="6"/>
          <w:szCs w:val="21"/>
          <w:highlight w:val="none"/>
          <w:u w:val="single"/>
        </w:rPr>
        <w:t>  2 </w:t>
      </w:r>
      <w:r>
        <w:rPr>
          <w:rFonts w:hint="eastAsia" w:ascii="宋体" w:hAnsi="宋体" w:cs="宋体"/>
          <w:color w:val="auto"/>
          <w:kern w:val="0"/>
          <w:position w:val="6"/>
          <w:szCs w:val="21"/>
          <w:highlight w:val="none"/>
        </w:rPr>
        <w:t>年；</w:t>
      </w:r>
    </w:p>
    <w:p w14:paraId="3A32ED9A">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7、保温工程：5年；</w:t>
      </w:r>
    </w:p>
    <w:p w14:paraId="110F7A1B">
      <w:pPr>
        <w:adjustRightInd w:val="0"/>
        <w:snapToGrid w:val="0"/>
        <w:spacing w:line="360" w:lineRule="auto"/>
        <w:ind w:firstLine="420" w:firstLineChars="200"/>
        <w:jc w:val="left"/>
        <w:rPr>
          <w:rFonts w:hint="eastAsia" w:ascii="宋体" w:hAnsi="宋体" w:eastAsia="宋体" w:cs="宋体"/>
          <w:color w:val="auto"/>
          <w:kern w:val="0"/>
          <w:position w:val="6"/>
          <w:szCs w:val="21"/>
          <w:highlight w:val="none"/>
          <w:lang w:eastAsia="zh-CN"/>
        </w:rPr>
      </w:pPr>
      <w:r>
        <w:rPr>
          <w:rFonts w:hint="eastAsia" w:ascii="宋体" w:hAnsi="宋体" w:cs="宋体"/>
          <w:color w:val="auto"/>
          <w:kern w:val="0"/>
          <w:position w:val="6"/>
          <w:szCs w:val="21"/>
          <w:highlight w:val="none"/>
        </w:rPr>
        <w:t>8、建筑幕墙：5年</w:t>
      </w:r>
      <w:r>
        <w:rPr>
          <w:rFonts w:hint="eastAsia" w:ascii="宋体" w:hAnsi="宋体" w:cs="宋体"/>
          <w:color w:val="auto"/>
          <w:kern w:val="0"/>
          <w:position w:val="6"/>
          <w:szCs w:val="21"/>
          <w:highlight w:val="none"/>
          <w:lang w:eastAsia="zh-CN"/>
        </w:rPr>
        <w:t>；</w:t>
      </w:r>
    </w:p>
    <w:p w14:paraId="4F90EDE3">
      <w:pPr>
        <w:adjustRightInd w:val="0"/>
        <w:snapToGrid w:val="0"/>
        <w:spacing w:line="360" w:lineRule="auto"/>
        <w:ind w:firstLine="420" w:firstLineChars="200"/>
        <w:jc w:val="left"/>
        <w:rPr>
          <w:rFonts w:hint="eastAsia" w:ascii="宋体" w:hAnsi="宋体" w:cs="宋体"/>
          <w:color w:val="auto"/>
          <w:kern w:val="0"/>
          <w:position w:val="6"/>
          <w:szCs w:val="21"/>
          <w:highlight w:val="none"/>
          <w:lang w:val="en-US" w:eastAsia="zh-CN"/>
        </w:rPr>
      </w:pPr>
      <w:r>
        <w:rPr>
          <w:rFonts w:hint="eastAsia" w:ascii="宋体" w:hAnsi="宋体" w:cs="宋体"/>
          <w:color w:val="auto"/>
          <w:kern w:val="0"/>
          <w:position w:val="6"/>
          <w:szCs w:val="21"/>
          <w:highlight w:val="none"/>
        </w:rPr>
        <w:t>9、其他项目保修期限约定如下：</w:t>
      </w:r>
      <w:r>
        <w:rPr>
          <w:rFonts w:hint="eastAsia" w:ascii="宋体" w:hAnsi="宋体" w:cs="宋体"/>
          <w:color w:val="auto"/>
          <w:kern w:val="0"/>
          <w:position w:val="6"/>
          <w:szCs w:val="21"/>
          <w:highlight w:val="none"/>
          <w:u w:val="single"/>
          <w:lang w:val="en-US" w:eastAsia="zh-CN"/>
        </w:rPr>
        <w:t xml:space="preserve">             </w:t>
      </w:r>
      <w:r>
        <w:rPr>
          <w:rFonts w:hint="eastAsia" w:ascii="宋体" w:hAnsi="宋体" w:cs="宋体"/>
          <w:color w:val="auto"/>
          <w:kern w:val="0"/>
          <w:position w:val="6"/>
          <w:szCs w:val="21"/>
          <w:highlight w:val="none"/>
          <w:lang w:val="en-US" w:eastAsia="zh-CN"/>
        </w:rPr>
        <w:t>。</w:t>
      </w:r>
    </w:p>
    <w:p w14:paraId="64A812A6">
      <w:pPr>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质量保修期自工程竣工验收合格之日起计算。</w:t>
      </w:r>
    </w:p>
    <w:p w14:paraId="65D51BED">
      <w:pPr>
        <w:adjustRightInd w:val="0"/>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三、缺陷责任期</w:t>
      </w:r>
    </w:p>
    <w:p w14:paraId="0F4CA3C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24个月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，缺陷责任期自工程竣工验收合格之日起计算。单位工程先于全部工程进行验收，单位工程缺陷责任期自单位工程验收合格之日起算。</w:t>
      </w:r>
    </w:p>
    <w:p w14:paraId="49651C9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缺陷责任期终止后，发包人应退还剩余的质量保证金。</w:t>
      </w:r>
    </w:p>
    <w:p w14:paraId="54F4E0FC">
      <w:pPr>
        <w:widowControl/>
        <w:adjustRightInd w:val="0"/>
        <w:snapToGrid w:val="0"/>
        <w:spacing w:line="360" w:lineRule="auto"/>
        <w:ind w:firstLine="422" w:firstLineChars="200"/>
        <w:jc w:val="left"/>
        <w:rPr>
          <w:rFonts w:hint="eastAsia" w:ascii="宋体" w:hAnsi="宋体" w:cs="宋体"/>
          <w:b/>
          <w:bCs/>
          <w:color w:val="auto"/>
          <w:kern w:val="0"/>
          <w:position w:val="6"/>
          <w:szCs w:val="21"/>
          <w:highlight w:val="none"/>
        </w:rPr>
      </w:pPr>
      <w:r>
        <w:rPr>
          <w:rFonts w:hint="eastAsia" w:ascii="宋体" w:hAnsi="宋体" w:cs="宋体"/>
          <w:b/>
          <w:color w:val="auto"/>
          <w:szCs w:val="21"/>
          <w:highlight w:val="none"/>
        </w:rPr>
        <w:t>四、质量保修责任</w:t>
      </w:r>
    </w:p>
    <w:p w14:paraId="50C9CE62">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1. 属于保修范围、内容的项目，承包人应当在接到保修通知之日起48小时内派人保修。承包人不约定期限内派人保修的，发包人可以委托他人修理。</w:t>
      </w:r>
    </w:p>
    <w:p w14:paraId="599DACBD">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2、发生紧急抢修事故的，承包人在接到事故通知后，应当立即到达事故现场抢修。</w:t>
      </w:r>
    </w:p>
    <w:p w14:paraId="15EE5755">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B67C3F9">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4、质量保修完成后，由发包人组织验收。</w:t>
      </w:r>
    </w:p>
    <w:p w14:paraId="58E89490">
      <w:pPr>
        <w:widowControl/>
        <w:adjustRightInd w:val="0"/>
        <w:snapToGrid w:val="0"/>
        <w:spacing w:line="360" w:lineRule="auto"/>
        <w:ind w:firstLine="422" w:firstLineChars="200"/>
        <w:jc w:val="left"/>
        <w:rPr>
          <w:rFonts w:hint="eastAsia" w:ascii="宋体" w:hAnsi="宋体" w:cs="宋体"/>
          <w:b/>
          <w:bCs/>
          <w:color w:val="auto"/>
          <w:kern w:val="0"/>
          <w:position w:val="6"/>
          <w:szCs w:val="21"/>
          <w:highlight w:val="none"/>
        </w:rPr>
      </w:pPr>
      <w:r>
        <w:rPr>
          <w:rFonts w:hint="eastAsia" w:ascii="宋体" w:hAnsi="宋体" w:cs="宋体"/>
          <w:b/>
          <w:bCs/>
          <w:color w:val="auto"/>
          <w:kern w:val="0"/>
          <w:position w:val="6"/>
          <w:szCs w:val="21"/>
          <w:highlight w:val="none"/>
        </w:rPr>
        <w:t>五、保修费用</w:t>
      </w:r>
    </w:p>
    <w:p w14:paraId="06AAA46C">
      <w:pPr>
        <w:widowControl/>
        <w:adjustRightInd w:val="0"/>
        <w:snapToGrid w:val="0"/>
        <w:spacing w:line="360" w:lineRule="auto"/>
        <w:ind w:firstLine="420" w:firstLineChars="200"/>
        <w:jc w:val="left"/>
        <w:rPr>
          <w:rFonts w:hint="eastAsia" w:ascii="宋体" w:hAnsi="宋体" w:cs="宋体"/>
          <w:color w:val="auto"/>
          <w:kern w:val="0"/>
          <w:position w:val="6"/>
          <w:szCs w:val="21"/>
          <w:highlight w:val="none"/>
        </w:rPr>
      </w:pPr>
      <w:r>
        <w:rPr>
          <w:rFonts w:hint="eastAsia" w:ascii="宋体" w:hAnsi="宋体" w:cs="宋体"/>
          <w:color w:val="auto"/>
          <w:kern w:val="0"/>
          <w:position w:val="6"/>
          <w:szCs w:val="21"/>
          <w:highlight w:val="none"/>
        </w:rPr>
        <w:t>保修费用由造成质量缺陷的责任方承担。</w:t>
      </w:r>
    </w:p>
    <w:p w14:paraId="6DD5327C">
      <w:pPr>
        <w:widowControl/>
        <w:adjustRightInd w:val="0"/>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bCs/>
          <w:color w:val="auto"/>
          <w:kern w:val="0"/>
          <w:position w:val="6"/>
          <w:szCs w:val="21"/>
          <w:highlight w:val="none"/>
        </w:rPr>
        <w:t>六、双方约定的其他工程质量保修事项：</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rPr>
        <w:t>。</w:t>
      </w:r>
    </w:p>
    <w:p w14:paraId="1BFFE4DE">
      <w:pPr>
        <w:widowControl/>
        <w:adjustRightInd w:val="0"/>
        <w:snapToGrid w:val="0"/>
        <w:spacing w:line="360"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position w:val="6"/>
          <w:szCs w:val="21"/>
          <w:highlight w:val="none"/>
        </w:rPr>
        <w:t>本工程质量保修书，由施工合同发包人、承包人双方在竣工验收前共同签署，作为施工合同附件，其有效期限至保修期满。</w:t>
      </w:r>
    </w:p>
    <w:p w14:paraId="30001B9F">
      <w:pPr>
        <w:adjustRightInd w:val="0"/>
        <w:snapToGrid w:val="0"/>
        <w:spacing w:line="360" w:lineRule="auto"/>
        <w:ind w:firstLine="420"/>
        <w:rPr>
          <w:rFonts w:hint="eastAsia" w:ascii="宋体" w:hAnsi="宋体" w:cs="宋体"/>
          <w:color w:val="auto"/>
          <w:szCs w:val="21"/>
          <w:highlight w:val="none"/>
        </w:rPr>
      </w:pPr>
    </w:p>
    <w:p w14:paraId="793D9D16">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 </w:t>
      </w:r>
    </w:p>
    <w:p w14:paraId="4FF4357D">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      </w:t>
      </w:r>
    </w:p>
    <w:p w14:paraId="649B0361">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14:paraId="18A92D5C">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14:paraId="7E541B29">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06FFE4E4">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415D220E">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379C983C">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1CB88932">
      <w:pPr>
        <w:rPr>
          <w:color w:val="auto"/>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2A2885E9">
      <w:pPr>
        <w:rPr>
          <w:rFonts w:hint="eastAsia" w:ascii="宋体" w:hAnsi="宋体" w:cs="宋体"/>
          <w:bCs/>
          <w:color w:val="auto"/>
          <w:sz w:val="24"/>
          <w:highlight w:val="none"/>
        </w:rPr>
      </w:pPr>
      <w:r>
        <w:rPr>
          <w:rFonts w:hint="eastAsia" w:ascii="宋体" w:hAnsi="宋体" w:cs="宋体"/>
          <w:bCs/>
          <w:color w:val="auto"/>
          <w:sz w:val="24"/>
          <w:highlight w:val="none"/>
        </w:rPr>
        <w:br w:type="page"/>
      </w:r>
    </w:p>
    <w:bookmarkEnd w:id="915"/>
    <w:p w14:paraId="7475CAD0">
      <w:pPr>
        <w:keepNext/>
        <w:keepLines/>
        <w:spacing w:before="120" w:after="120" w:line="360" w:lineRule="auto"/>
        <w:jc w:val="left"/>
        <w:outlineLvl w:val="2"/>
        <w:rPr>
          <w:rFonts w:hint="eastAsia" w:ascii="宋体" w:hAnsi="宋体" w:cs="宋体"/>
          <w:bCs/>
          <w:color w:val="auto"/>
          <w:sz w:val="24"/>
          <w:highlight w:val="none"/>
        </w:rPr>
      </w:pPr>
      <w:bookmarkStart w:id="916" w:name="_Toc95223511"/>
      <w:r>
        <w:rPr>
          <w:rFonts w:hint="eastAsia" w:ascii="宋体" w:hAnsi="宋体" w:cs="宋体"/>
          <w:bCs/>
          <w:color w:val="auto"/>
          <w:sz w:val="24"/>
          <w:highlight w:val="none"/>
        </w:rPr>
        <w:t>安全生产合同</w:t>
      </w:r>
      <w:bookmarkEnd w:id="916"/>
    </w:p>
    <w:p w14:paraId="79D9962F">
      <w:pPr>
        <w:adjustRightInd w:val="0"/>
        <w:snapToGrid w:val="0"/>
        <w:spacing w:line="360" w:lineRule="auto"/>
        <w:jc w:val="center"/>
        <w:outlineLvl w:val="0"/>
        <w:rPr>
          <w:rFonts w:hint="eastAsia" w:ascii="宋体" w:hAnsi="宋体" w:cs="宋体"/>
          <w:b/>
          <w:color w:val="auto"/>
          <w:sz w:val="32"/>
          <w:szCs w:val="32"/>
          <w:highlight w:val="none"/>
        </w:rPr>
      </w:pPr>
      <w:bookmarkStart w:id="917" w:name="_Toc32439"/>
      <w:bookmarkStart w:id="918" w:name="_Toc31602"/>
      <w:bookmarkStart w:id="919" w:name="_Toc26993"/>
      <w:bookmarkStart w:id="920" w:name="_Toc95223512"/>
      <w:bookmarkStart w:id="921" w:name="_Toc16956"/>
      <w:bookmarkStart w:id="922" w:name="_Toc17347"/>
      <w:r>
        <w:rPr>
          <w:rFonts w:hint="eastAsia" w:ascii="宋体" w:hAnsi="宋体" w:cs="宋体"/>
          <w:b/>
          <w:color w:val="auto"/>
          <w:sz w:val="32"/>
          <w:szCs w:val="32"/>
          <w:highlight w:val="none"/>
        </w:rPr>
        <w:t>安全生产合同</w:t>
      </w:r>
      <w:bookmarkEnd w:id="917"/>
      <w:bookmarkEnd w:id="918"/>
      <w:bookmarkEnd w:id="919"/>
      <w:bookmarkEnd w:id="920"/>
      <w:bookmarkEnd w:id="921"/>
      <w:bookmarkEnd w:id="922"/>
    </w:p>
    <w:p w14:paraId="610914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为在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（标段）施工合同的实施过程中创造安全、高效的施工环境，切实搞好本项目的安全管理工作，本项目发包人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（发包人名称，以下简称“发包人”）与承包人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（承包人名称，以下简称“承包人”）特此签订安全生产合同：</w:t>
      </w:r>
    </w:p>
    <w:p w14:paraId="1F2576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1.发包人职责</w:t>
      </w:r>
    </w:p>
    <w:p w14:paraId="37EC18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（1）严格遵守国家有关安全生产的法律法规，认真执行工程承包合同中的有关安全要求。</w:t>
      </w:r>
    </w:p>
    <w:p w14:paraId="5296C0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（2）按照“安全第一、预防为主”和坚持“管生产必须管安全”的原则进行安全生产管理，做到生产与安全工作同时计划、布置、检查、总结和评比。</w:t>
      </w:r>
    </w:p>
    <w:p w14:paraId="51CEC5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（3）重要的安全设施必须坚持与主体工程“三同时”的原则，即：同时设计、审批，同时施工，同时验收，投入使用。</w:t>
      </w:r>
    </w:p>
    <w:p w14:paraId="0DF06E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（4）定期召开安全生产调度会，及时传达中央及地方有关安全生产的精神。</w:t>
      </w:r>
    </w:p>
    <w:p w14:paraId="0072ED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（5）组织对承包人施工现场安全生产检查，监督承包人及时处理发现的各种安全隐患。</w:t>
      </w:r>
    </w:p>
    <w:p w14:paraId="50B919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2.承包人职责</w:t>
      </w:r>
    </w:p>
    <w:p w14:paraId="5E8C4F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14E31F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47C83D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1F7493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（4）承包人在任何时候都应采取各种合理的预防措施，防止其员工发生任何违法、违禁、暴力或妨碍治安的行为。</w:t>
      </w:r>
    </w:p>
    <w:p w14:paraId="315E80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5A16DF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21FFD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（7）操作人员上岗，必须按规定穿戴防护用品。施工负责人和安全检查员应随时检查劳动防护用品的穿戴情况，不按规定穿戴防护用品的人员不得上岗。</w:t>
      </w:r>
    </w:p>
    <w:p w14:paraId="59D1FC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（8）所有施工机具设备和高空作业的设备均应定期检查，并有安全员的签字记录，保证其经常处于完好状态；不合格的机具、设备和劳动保护用品严禁使用：</w:t>
      </w:r>
    </w:p>
    <w:p w14:paraId="3B2EF0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（9）施工中采用新技术、新工艺、新设备、新材料时，必须制定相应的安全技术措施，施工现场必须具有相关的安全标志牌。</w:t>
      </w:r>
    </w:p>
    <w:p w14:paraId="67D712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1C3C2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（11）安全生产费用按照《建设工程安全生产管理条例》的相关规定使用和管理。</w:t>
      </w:r>
    </w:p>
    <w:p w14:paraId="4216E4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3.违约责任</w:t>
      </w:r>
    </w:p>
    <w:p w14:paraId="58656C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如因发包人或承包人违约造成安全事故，将依法追究责任。</w:t>
      </w:r>
    </w:p>
    <w:p w14:paraId="387D46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4.本合同由双方法定代表人或其授权的代理人签署并加盖单位章后生效，全部工程竣工验收后失效。</w:t>
      </w:r>
    </w:p>
    <w:p w14:paraId="289FE4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5.本合同正本—式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份，副本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份，合同双方各执正本—份，副本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份，当正本与副本的内容不一致时，以正本为准。</w:t>
      </w:r>
    </w:p>
    <w:p w14:paraId="0D87F2F5">
      <w:pPr>
        <w:spacing w:line="360" w:lineRule="auto"/>
        <w:rPr>
          <w:rFonts w:hint="eastAsia" w:ascii="宋体" w:hAnsi="宋体" w:cs="宋体"/>
          <w:color w:val="auto"/>
          <w:szCs w:val="21"/>
          <w:highlight w:val="none"/>
        </w:rPr>
      </w:pPr>
    </w:p>
    <w:p w14:paraId="099B03A6">
      <w:pPr>
        <w:spacing w:line="360" w:lineRule="auto"/>
        <w:rPr>
          <w:rFonts w:hint="eastAsia" w:ascii="宋体" w:hAnsi="宋体" w:cs="宋体"/>
          <w:color w:val="auto"/>
          <w:szCs w:val="21"/>
          <w:highlight w:val="none"/>
        </w:rPr>
      </w:pPr>
    </w:p>
    <w:p w14:paraId="49689A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发包人：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           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5415A5FE">
      <w:pPr>
        <w:spacing w:line="360" w:lineRule="auto"/>
        <w:rPr>
          <w:rFonts w:hint="eastAsia" w:ascii="宋体" w:hAnsi="宋体" w:cs="宋体"/>
          <w:color w:val="auto"/>
          <w:szCs w:val="21"/>
          <w:highlight w:val="none"/>
        </w:rPr>
      </w:pPr>
    </w:p>
    <w:p w14:paraId="239F73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           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4A75BBA9">
      <w:pPr>
        <w:spacing w:line="360" w:lineRule="auto"/>
        <w:rPr>
          <w:rFonts w:hint="eastAsia" w:ascii="宋体" w:hAnsi="宋体" w:cs="宋体"/>
          <w:color w:val="auto"/>
          <w:szCs w:val="21"/>
          <w:highlight w:val="none"/>
        </w:rPr>
      </w:pPr>
    </w:p>
    <w:p w14:paraId="166E0162">
      <w:pPr>
        <w:spacing w:line="360" w:lineRule="auto"/>
        <w:ind w:firstLine="840"/>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B604613">
      <w:pPr>
        <w:keepNext/>
        <w:keepLines/>
        <w:spacing w:before="120" w:after="120" w:line="360" w:lineRule="auto"/>
        <w:jc w:val="left"/>
        <w:outlineLvl w:val="2"/>
        <w:rPr>
          <w:rFonts w:hint="eastAsia" w:ascii="宋体" w:hAnsi="宋体" w:cs="宋体"/>
          <w:bCs/>
          <w:color w:val="auto"/>
          <w:sz w:val="24"/>
          <w:highlight w:val="none"/>
        </w:rPr>
      </w:pPr>
      <w:r>
        <w:rPr>
          <w:rFonts w:hint="eastAsia" w:ascii="宋体" w:hAnsi="宋体" w:cs="宋体"/>
          <w:bCs/>
          <w:color w:val="auto"/>
          <w:kern w:val="44"/>
          <w:sz w:val="32"/>
          <w:szCs w:val="44"/>
          <w:highlight w:val="none"/>
        </w:rPr>
        <w:br w:type="page"/>
      </w:r>
      <w:bookmarkStart w:id="923" w:name="_Toc95223513"/>
      <w:r>
        <w:rPr>
          <w:rFonts w:hint="eastAsia" w:ascii="宋体" w:hAnsi="宋体" w:cs="宋体"/>
          <w:bCs/>
          <w:color w:val="auto"/>
          <w:sz w:val="24"/>
          <w:highlight w:val="none"/>
        </w:rPr>
        <w:t>项目经理质量终身责任制承诺</w:t>
      </w:r>
      <w:bookmarkEnd w:id="923"/>
    </w:p>
    <w:p w14:paraId="72E28F94">
      <w:pPr>
        <w:keepNext/>
        <w:keepLines/>
        <w:spacing w:before="120" w:after="120" w:line="360" w:lineRule="auto"/>
        <w:jc w:val="left"/>
        <w:outlineLvl w:val="2"/>
        <w:rPr>
          <w:rFonts w:hint="eastAsia" w:ascii="宋体" w:hAnsi="宋体" w:cs="宋体"/>
          <w:bCs/>
          <w:color w:val="auto"/>
          <w:sz w:val="24"/>
          <w:highlight w:val="none"/>
        </w:rPr>
      </w:pPr>
    </w:p>
    <w:p w14:paraId="2E635858">
      <w:pPr>
        <w:adjustRightInd w:val="0"/>
        <w:snapToGrid w:val="0"/>
        <w:spacing w:line="360" w:lineRule="auto"/>
        <w:jc w:val="center"/>
        <w:outlineLvl w:val="0"/>
        <w:rPr>
          <w:rFonts w:hint="eastAsia" w:ascii="宋体" w:hAnsi="宋体" w:cs="宋体"/>
          <w:b/>
          <w:color w:val="auto"/>
          <w:sz w:val="32"/>
          <w:szCs w:val="32"/>
          <w:highlight w:val="none"/>
        </w:rPr>
      </w:pPr>
      <w:bookmarkStart w:id="924" w:name="_Toc95223514"/>
      <w:bookmarkStart w:id="925" w:name="_Toc31476"/>
      <w:bookmarkStart w:id="926" w:name="_Toc11057"/>
      <w:bookmarkStart w:id="927" w:name="_Toc19059"/>
      <w:bookmarkStart w:id="928" w:name="_Toc20282"/>
      <w:bookmarkStart w:id="929" w:name="_Toc4934"/>
      <w:r>
        <w:rPr>
          <w:rFonts w:hint="eastAsia" w:ascii="宋体" w:hAnsi="宋体" w:cs="宋体"/>
          <w:b/>
          <w:color w:val="auto"/>
          <w:sz w:val="32"/>
          <w:szCs w:val="32"/>
          <w:highlight w:val="none"/>
        </w:rPr>
        <w:t>项目经理质量终身责任制承诺</w:t>
      </w:r>
      <w:bookmarkEnd w:id="924"/>
      <w:bookmarkEnd w:id="925"/>
      <w:bookmarkEnd w:id="926"/>
      <w:bookmarkEnd w:id="927"/>
      <w:bookmarkEnd w:id="928"/>
      <w:bookmarkEnd w:id="929"/>
    </w:p>
    <w:p w14:paraId="3268A807">
      <w:pPr>
        <w:adjustRightInd w:val="0"/>
        <w:snapToGrid w:val="0"/>
        <w:spacing w:line="360" w:lineRule="auto"/>
        <w:jc w:val="center"/>
        <w:outlineLvl w:val="0"/>
        <w:rPr>
          <w:rFonts w:hint="eastAsia" w:ascii="宋体" w:hAnsi="宋体" w:cs="宋体"/>
          <w:b/>
          <w:color w:val="auto"/>
          <w:sz w:val="32"/>
          <w:szCs w:val="32"/>
          <w:highlight w:val="none"/>
        </w:rPr>
      </w:pPr>
    </w:p>
    <w:p w14:paraId="37752062">
      <w:pPr>
        <w:adjustRightInd w:val="0"/>
        <w:snapToGrid w:val="0"/>
        <w:spacing w:line="360" w:lineRule="auto"/>
        <w:rPr>
          <w:rFonts w:hint="eastAsia" w:ascii="宋体" w:hAnsi="宋体" w:cs="宋体"/>
          <w:bCs/>
          <w:color w:val="auto"/>
          <w:sz w:val="24"/>
          <w:szCs w:val="21"/>
          <w:highlight w:val="none"/>
        </w:rPr>
      </w:pPr>
      <w:r>
        <w:rPr>
          <w:rFonts w:hint="eastAsia" w:ascii="宋体" w:hAnsi="宋体" w:cs="宋体"/>
          <w:bCs/>
          <w:color w:val="auto"/>
          <w:sz w:val="24"/>
          <w:szCs w:val="21"/>
          <w:highlight w:val="none"/>
        </w:rPr>
        <w:t>致：______________(招标人名称)</w:t>
      </w:r>
    </w:p>
    <w:p w14:paraId="58205C1F">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本人作为拟委任的施工项目经理，承担相关质量终身责任，现郑重承诺如下：</w:t>
      </w:r>
    </w:p>
    <w:p w14:paraId="43039E8C">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一、在取得施工许可证后进行施工。</w:t>
      </w:r>
    </w:p>
    <w:p w14:paraId="4BE47B15">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二、严格执行施工规范及标准。</w:t>
      </w:r>
    </w:p>
    <w:p w14:paraId="44AC49E8">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三、严格按规定配备施工项目部关键岗位人员，并确保所有人员到岗履职。</w:t>
      </w:r>
    </w:p>
    <w:p w14:paraId="6F610B85">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四、严格按照经施工图审查机构审查合格的工程设计文件及合同约定的质量标准精心组织施工。</w:t>
      </w:r>
    </w:p>
    <w:p w14:paraId="2BE619A0">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五、施工中采用合格的建筑材料、建筑构配件和设备等，并严格按规定执行见证取样制度。</w:t>
      </w:r>
    </w:p>
    <w:p w14:paraId="3547B530">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六、建立、健全质量检查、验收制度，严格工序管理，做好隐蔽工程质量的检查和记录。</w:t>
      </w:r>
    </w:p>
    <w:p w14:paraId="10C2F019">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七、对施工中出现的质量问题，及时进行整改。严格依法依规履行义务。</w:t>
      </w:r>
    </w:p>
    <w:p w14:paraId="46B1224A">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八、履行相关工程质量检查、验收及事故处理等职责。</w:t>
      </w:r>
    </w:p>
    <w:p w14:paraId="74211C12">
      <w:pPr>
        <w:adjustRightInd w:val="0"/>
        <w:snapToGrid w:val="0"/>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rPr>
        <w:t>九、履行其他法律法规规定的职责。</w:t>
      </w:r>
    </w:p>
    <w:p w14:paraId="5991D6BF">
      <w:pPr>
        <w:spacing w:line="360" w:lineRule="auto"/>
        <w:ind w:left="359" w:leftChars="171" w:firstLine="720" w:firstLineChars="300"/>
        <w:rPr>
          <w:rFonts w:hint="eastAsia" w:ascii="宋体" w:hAnsi="宋体" w:cs="宋体"/>
          <w:bCs/>
          <w:color w:val="auto"/>
          <w:sz w:val="24"/>
          <w:szCs w:val="21"/>
          <w:highlight w:val="none"/>
        </w:rPr>
      </w:pPr>
    </w:p>
    <w:p w14:paraId="0A469C7D">
      <w:pPr>
        <w:spacing w:line="360" w:lineRule="auto"/>
        <w:ind w:left="359" w:leftChars="171" w:firstLine="720" w:firstLineChars="300"/>
        <w:rPr>
          <w:rFonts w:hint="eastAsia" w:ascii="宋体" w:hAnsi="宋体" w:cs="宋体"/>
          <w:bCs/>
          <w:color w:val="auto"/>
          <w:sz w:val="24"/>
          <w:szCs w:val="21"/>
          <w:highlight w:val="none"/>
        </w:rPr>
      </w:pPr>
    </w:p>
    <w:p w14:paraId="6CEFC16C">
      <w:pPr>
        <w:spacing w:line="360" w:lineRule="auto"/>
        <w:ind w:left="359" w:leftChars="171" w:firstLine="720" w:firstLineChars="300"/>
        <w:rPr>
          <w:rFonts w:hint="eastAsia" w:ascii="宋体" w:hAnsi="宋体" w:cs="宋体"/>
          <w:bCs/>
          <w:color w:val="auto"/>
          <w:sz w:val="24"/>
          <w:szCs w:val="21"/>
          <w:highlight w:val="none"/>
        </w:rPr>
      </w:pPr>
      <w:r>
        <w:rPr>
          <w:rFonts w:hint="eastAsia" w:ascii="宋体" w:hAnsi="宋体" w:cs="宋体"/>
          <w:bCs/>
          <w:color w:val="auto"/>
          <w:sz w:val="24"/>
          <w:szCs w:val="21"/>
          <w:highlight w:val="none"/>
        </w:rPr>
        <w:t>项目经理：</w:t>
      </w:r>
      <w:r>
        <w:rPr>
          <w:rFonts w:hint="eastAsia" w:ascii="宋体" w:hAnsi="宋体" w:cs="宋体"/>
          <w:bCs/>
          <w:color w:val="auto"/>
          <w:sz w:val="24"/>
          <w:szCs w:val="21"/>
          <w:highlight w:val="none"/>
          <w:u w:val="single"/>
        </w:rPr>
        <w:t xml:space="preserve">                   </w:t>
      </w:r>
      <w:r>
        <w:rPr>
          <w:rFonts w:hint="eastAsia" w:ascii="宋体" w:hAnsi="宋体" w:cs="宋体"/>
          <w:bCs/>
          <w:color w:val="auto"/>
          <w:sz w:val="24"/>
          <w:szCs w:val="21"/>
          <w:highlight w:val="none"/>
        </w:rPr>
        <w:t>（签字）</w:t>
      </w:r>
    </w:p>
    <w:p w14:paraId="1ACC41B0">
      <w:pPr>
        <w:spacing w:line="360" w:lineRule="auto"/>
        <w:ind w:left="359" w:leftChars="171" w:firstLine="720" w:firstLineChars="300"/>
        <w:rPr>
          <w:rFonts w:hint="eastAsia" w:ascii="宋体" w:hAnsi="宋体" w:cs="宋体"/>
          <w:bCs/>
          <w:color w:val="auto"/>
          <w:sz w:val="24"/>
          <w:szCs w:val="21"/>
          <w:highlight w:val="none"/>
        </w:rPr>
      </w:pPr>
      <w:r>
        <w:rPr>
          <w:rFonts w:hint="eastAsia" w:ascii="宋体" w:hAnsi="宋体" w:cs="宋体"/>
          <w:bCs/>
          <w:color w:val="auto"/>
          <w:sz w:val="24"/>
          <w:szCs w:val="21"/>
          <w:highlight w:val="none"/>
        </w:rPr>
        <w:t>日期：_____年____月____日</w:t>
      </w:r>
    </w:p>
    <w:p w14:paraId="42F0B42A">
      <w:pPr>
        <w:pStyle w:val="2"/>
        <w:rPr>
          <w:rFonts w:hint="eastAsia"/>
          <w:color w:val="auto"/>
          <w:highlight w:val="none"/>
        </w:rPr>
      </w:pPr>
    </w:p>
    <w:p w14:paraId="5EA12FF4">
      <w:pPr>
        <w:rPr>
          <w:rFonts w:hint="eastAsia"/>
          <w:bCs/>
          <w:color w:val="auto"/>
          <w:szCs w:val="32"/>
          <w:highlight w:val="none"/>
        </w:rPr>
      </w:pPr>
    </w:p>
    <w:p w14:paraId="7935CE66">
      <w:pPr>
        <w:rPr>
          <w:rFonts w:hint="eastAsia"/>
          <w:bCs/>
          <w:color w:val="auto"/>
          <w:szCs w:val="32"/>
          <w:highlight w:val="none"/>
        </w:rPr>
      </w:pPr>
    </w:p>
    <w:p w14:paraId="401D18A1">
      <w:pPr>
        <w:rPr>
          <w:rFonts w:hint="eastAsia"/>
          <w:bCs/>
          <w:color w:val="auto"/>
          <w:szCs w:val="32"/>
          <w:highlight w:val="none"/>
        </w:rPr>
      </w:pPr>
    </w:p>
    <w:p w14:paraId="7FDF243E">
      <w:pPr>
        <w:rPr>
          <w:rFonts w:hint="eastAsia"/>
          <w:bCs/>
          <w:color w:val="auto"/>
          <w:szCs w:val="32"/>
          <w:highlight w:val="none"/>
        </w:rPr>
      </w:pPr>
    </w:p>
    <w:p w14:paraId="53953A9B">
      <w:pPr>
        <w:rPr>
          <w:rFonts w:hint="eastAsia"/>
          <w:bCs/>
          <w:color w:val="auto"/>
          <w:szCs w:val="32"/>
          <w:highlight w:val="none"/>
        </w:rPr>
      </w:pPr>
    </w:p>
    <w:p w14:paraId="6F88FE85">
      <w:pPr>
        <w:rPr>
          <w:rFonts w:hint="eastAsia"/>
          <w:bCs/>
          <w:color w:val="auto"/>
          <w:szCs w:val="32"/>
          <w:highlight w:val="none"/>
        </w:rPr>
      </w:pPr>
    </w:p>
    <w:p w14:paraId="1651E6F8">
      <w:pPr>
        <w:rPr>
          <w:rFonts w:hint="eastAsia"/>
          <w:bCs/>
          <w:color w:val="auto"/>
          <w:szCs w:val="32"/>
          <w:highlight w:val="none"/>
        </w:rPr>
      </w:pPr>
    </w:p>
    <w:p w14:paraId="78678469">
      <w:pPr>
        <w:rPr>
          <w:rFonts w:hint="eastAsia"/>
          <w:bCs/>
          <w:color w:val="auto"/>
          <w:szCs w:val="32"/>
          <w:highlight w:val="none"/>
        </w:rPr>
      </w:pPr>
    </w:p>
    <w:p w14:paraId="347994B1">
      <w:pPr>
        <w:rPr>
          <w:rFonts w:hint="eastAsia"/>
          <w:bCs/>
          <w:color w:val="auto"/>
          <w:szCs w:val="32"/>
          <w:highlight w:val="none"/>
        </w:rPr>
      </w:pPr>
    </w:p>
    <w:p w14:paraId="6FA116AB">
      <w:pPr>
        <w:pStyle w:val="43"/>
        <w:numPr>
          <w:ilvl w:val="0"/>
          <w:numId w:val="0"/>
        </w:numPr>
        <w:spacing w:beforeLines="50" w:afterLines="50" w:line="440" w:lineRule="exact"/>
        <w:rPr>
          <w:rFonts w:hint="eastAsia" w:eastAsia="宋体" w:cs="Times New Roman"/>
          <w:bCs/>
          <w:color w:val="auto"/>
          <w:szCs w:val="32"/>
          <w:highlight w:val="none"/>
        </w:rPr>
      </w:pPr>
      <w:bookmarkStart w:id="930" w:name="_Toc23990"/>
      <w:bookmarkStart w:id="931" w:name="_Toc4767"/>
      <w:bookmarkStart w:id="932" w:name="_Toc95223515"/>
      <w:r>
        <w:rPr>
          <w:rFonts w:hint="eastAsia" w:ascii="Arial" w:hAnsi="Arial" w:eastAsia="宋体" w:cs="Times New Roman"/>
          <w:b/>
          <w:bCs/>
          <w:color w:val="auto"/>
          <w:kern w:val="0"/>
          <w:sz w:val="32"/>
          <w:szCs w:val="32"/>
          <w:highlight w:val="none"/>
          <w:lang w:val="en-US" w:eastAsia="zh-CN" w:bidi="ar-SA"/>
        </w:rPr>
        <w:t>第五章</w:t>
      </w:r>
      <w:r>
        <w:rPr>
          <w:rFonts w:hint="eastAsia" w:eastAsia="宋体" w:cs="Times New Roman"/>
          <w:bCs/>
          <w:color w:val="auto"/>
          <w:szCs w:val="32"/>
          <w:highlight w:val="none"/>
        </w:rPr>
        <w:t xml:space="preserve"> </w:t>
      </w:r>
      <w:bookmarkStart w:id="933" w:name="_Toc3388"/>
      <w:bookmarkStart w:id="934" w:name="_Toc10898"/>
      <w:r>
        <w:rPr>
          <w:rFonts w:hint="eastAsia" w:eastAsia="宋体" w:cs="Times New Roman"/>
          <w:bCs/>
          <w:color w:val="auto"/>
          <w:szCs w:val="32"/>
          <w:highlight w:val="none"/>
        </w:rPr>
        <w:t>工程量清单</w:t>
      </w:r>
      <w:bookmarkEnd w:id="930"/>
      <w:bookmarkEnd w:id="931"/>
      <w:bookmarkEnd w:id="932"/>
      <w:bookmarkEnd w:id="933"/>
      <w:bookmarkEnd w:id="934"/>
    </w:p>
    <w:p w14:paraId="7F47F256">
      <w:pPr>
        <w:adjustRightInd w:val="0"/>
        <w:snapToGrid w:val="0"/>
        <w:spacing w:line="360" w:lineRule="auto"/>
        <w:ind w:firstLine="422" w:firstLineChars="200"/>
        <w:rPr>
          <w:rFonts w:hint="eastAsia" w:ascii="宋体" w:hAnsi="宋体" w:cs="宋体"/>
          <w:b/>
          <w:bCs/>
          <w:color w:val="auto"/>
          <w:szCs w:val="21"/>
          <w:highlight w:val="none"/>
        </w:rPr>
      </w:pPr>
      <w:bookmarkStart w:id="935" w:name="_Toc1620"/>
      <w:bookmarkStart w:id="936" w:name="_Toc95223516"/>
      <w:r>
        <w:rPr>
          <w:rFonts w:hint="eastAsia" w:ascii="宋体" w:hAnsi="宋体" w:cs="宋体"/>
          <w:b/>
          <w:bCs/>
          <w:color w:val="auto"/>
          <w:szCs w:val="21"/>
          <w:highlight w:val="none"/>
        </w:rPr>
        <w:t>1. 计价依据</w:t>
      </w:r>
      <w:bookmarkEnd w:id="935"/>
      <w:bookmarkEnd w:id="936"/>
    </w:p>
    <w:p w14:paraId="3663EE9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 计价依据的确定符合国家法律法规、现行有关标准与规范，工程所在地的省、市工程定额和工程造价的规定以及工程造价信息要求。</w:t>
      </w:r>
    </w:p>
    <w:p w14:paraId="5815F67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1.2 安全文明施工费按下表执行： </w:t>
      </w:r>
    </w:p>
    <w:tbl>
      <w:tblPr>
        <w:tblStyle w:val="46"/>
        <w:tblW w:w="9560" w:type="dxa"/>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061"/>
        <w:gridCol w:w="675"/>
        <w:gridCol w:w="950"/>
        <w:gridCol w:w="725"/>
        <w:gridCol w:w="850"/>
        <w:gridCol w:w="1150"/>
        <w:gridCol w:w="1125"/>
        <w:gridCol w:w="853"/>
        <w:gridCol w:w="885"/>
      </w:tblGrid>
      <w:tr w14:paraId="44602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1286" w:type="dxa"/>
            <w:vMerge w:val="restart"/>
            <w:tcBorders>
              <w:top w:val="single" w:color="auto" w:sz="4" w:space="0"/>
              <w:left w:val="single" w:color="auto" w:sz="4" w:space="0"/>
              <w:bottom w:val="single" w:color="auto" w:sz="4" w:space="0"/>
              <w:right w:val="single" w:color="auto" w:sz="4" w:space="0"/>
            </w:tcBorders>
            <w:noWrap w:val="0"/>
            <w:vAlign w:val="center"/>
          </w:tcPr>
          <w:p w14:paraId="6A3A4B6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61" w:type="dxa"/>
            <w:vMerge w:val="restart"/>
            <w:tcBorders>
              <w:top w:val="single" w:color="auto" w:sz="4" w:space="0"/>
              <w:left w:val="single" w:color="auto" w:sz="4" w:space="0"/>
              <w:bottom w:val="single" w:color="auto" w:sz="4" w:space="0"/>
              <w:right w:val="single" w:color="auto" w:sz="4" w:space="0"/>
            </w:tcBorders>
            <w:noWrap w:val="0"/>
            <w:vAlign w:val="center"/>
          </w:tcPr>
          <w:p w14:paraId="6EC1884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计费</w:t>
            </w:r>
          </w:p>
          <w:p w14:paraId="7A828F0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基础</w:t>
            </w:r>
          </w:p>
        </w:tc>
        <w:tc>
          <w:tcPr>
            <w:tcW w:w="7213" w:type="dxa"/>
            <w:gridSpan w:val="8"/>
            <w:tcBorders>
              <w:top w:val="single" w:color="auto" w:sz="4" w:space="0"/>
              <w:left w:val="single" w:color="auto" w:sz="4" w:space="0"/>
              <w:bottom w:val="single" w:color="auto" w:sz="4" w:space="0"/>
              <w:right w:val="single" w:color="auto" w:sz="4" w:space="0"/>
            </w:tcBorders>
            <w:noWrap w:val="0"/>
            <w:vAlign w:val="center"/>
          </w:tcPr>
          <w:p w14:paraId="4A0EED3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费率（%）</w:t>
            </w:r>
          </w:p>
        </w:tc>
      </w:tr>
      <w:tr w14:paraId="4AF2C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1286" w:type="dxa"/>
            <w:vMerge w:val="continue"/>
            <w:tcBorders>
              <w:top w:val="single" w:color="auto" w:sz="4" w:space="0"/>
              <w:left w:val="single" w:color="auto" w:sz="4" w:space="0"/>
              <w:bottom w:val="single" w:color="auto" w:sz="4" w:space="0"/>
              <w:right w:val="single" w:color="auto" w:sz="4" w:space="0"/>
            </w:tcBorders>
            <w:noWrap w:val="0"/>
            <w:vAlign w:val="center"/>
          </w:tcPr>
          <w:p w14:paraId="3554333A">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1061" w:type="dxa"/>
            <w:vMerge w:val="continue"/>
            <w:tcBorders>
              <w:top w:val="single" w:color="auto" w:sz="4" w:space="0"/>
              <w:left w:val="single" w:color="auto" w:sz="4" w:space="0"/>
              <w:bottom w:val="single" w:color="auto" w:sz="4" w:space="0"/>
              <w:right w:val="single" w:color="auto" w:sz="4" w:space="0"/>
            </w:tcBorders>
            <w:noWrap w:val="0"/>
            <w:vAlign w:val="center"/>
          </w:tcPr>
          <w:p w14:paraId="26FE8075">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vMerge w:val="restart"/>
            <w:tcBorders>
              <w:top w:val="single" w:color="auto" w:sz="4" w:space="0"/>
              <w:left w:val="single" w:color="auto" w:sz="4" w:space="0"/>
              <w:right w:val="single" w:color="auto" w:sz="4" w:space="0"/>
            </w:tcBorders>
            <w:noWrap w:val="0"/>
            <w:vAlign w:val="center"/>
          </w:tcPr>
          <w:p w14:paraId="31F7ABF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建筑工程</w:t>
            </w:r>
          </w:p>
        </w:tc>
        <w:tc>
          <w:tcPr>
            <w:tcW w:w="950" w:type="dxa"/>
            <w:vMerge w:val="restart"/>
            <w:tcBorders>
              <w:top w:val="single" w:color="auto" w:sz="4" w:space="0"/>
              <w:left w:val="single" w:color="auto" w:sz="4" w:space="0"/>
              <w:right w:val="single" w:color="auto" w:sz="4" w:space="0"/>
            </w:tcBorders>
            <w:noWrap w:val="0"/>
            <w:vAlign w:val="center"/>
          </w:tcPr>
          <w:p w14:paraId="67A5E96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装饰装修工程</w:t>
            </w:r>
          </w:p>
        </w:tc>
        <w:tc>
          <w:tcPr>
            <w:tcW w:w="725" w:type="dxa"/>
            <w:vMerge w:val="restart"/>
            <w:tcBorders>
              <w:top w:val="single" w:color="auto" w:sz="4" w:space="0"/>
              <w:left w:val="single" w:color="auto" w:sz="4" w:space="0"/>
              <w:right w:val="single" w:color="auto" w:sz="4" w:space="0"/>
            </w:tcBorders>
            <w:noWrap w:val="0"/>
            <w:vAlign w:val="center"/>
          </w:tcPr>
          <w:p w14:paraId="48ADAF0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安装</w:t>
            </w:r>
          </w:p>
          <w:p w14:paraId="67058D6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w:t>
            </w:r>
          </w:p>
        </w:tc>
        <w:tc>
          <w:tcPr>
            <w:tcW w:w="850" w:type="dxa"/>
            <w:vMerge w:val="restart"/>
            <w:tcBorders>
              <w:top w:val="single" w:color="auto" w:sz="4" w:space="0"/>
              <w:left w:val="single" w:color="auto" w:sz="4" w:space="0"/>
              <w:right w:val="single" w:color="auto" w:sz="4" w:space="0"/>
            </w:tcBorders>
            <w:noWrap w:val="0"/>
            <w:vAlign w:val="center"/>
          </w:tcPr>
          <w:p w14:paraId="58F7780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市政</w:t>
            </w:r>
          </w:p>
          <w:p w14:paraId="652E927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w:t>
            </w:r>
          </w:p>
        </w:tc>
        <w:tc>
          <w:tcPr>
            <w:tcW w:w="2275" w:type="dxa"/>
            <w:gridSpan w:val="2"/>
            <w:tcBorders>
              <w:top w:val="single" w:color="auto" w:sz="4" w:space="0"/>
              <w:left w:val="single" w:color="auto" w:sz="4" w:space="0"/>
              <w:bottom w:val="single" w:color="auto" w:sz="4" w:space="0"/>
              <w:right w:val="single" w:color="auto" w:sz="4" w:space="0"/>
            </w:tcBorders>
            <w:noWrap w:val="0"/>
            <w:vAlign w:val="center"/>
          </w:tcPr>
          <w:p w14:paraId="34A046B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城市轨道交通工程</w:t>
            </w:r>
          </w:p>
        </w:tc>
        <w:tc>
          <w:tcPr>
            <w:tcW w:w="853" w:type="dxa"/>
            <w:vMerge w:val="restart"/>
            <w:tcBorders>
              <w:top w:val="single" w:color="auto" w:sz="4" w:space="0"/>
              <w:left w:val="single" w:color="auto" w:sz="4" w:space="0"/>
              <w:right w:val="single" w:color="auto" w:sz="4" w:space="0"/>
            </w:tcBorders>
            <w:noWrap w:val="0"/>
            <w:vAlign w:val="center"/>
          </w:tcPr>
          <w:p w14:paraId="545139F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园林绿化工程</w:t>
            </w:r>
          </w:p>
        </w:tc>
        <w:tc>
          <w:tcPr>
            <w:tcW w:w="885" w:type="dxa"/>
            <w:vMerge w:val="restart"/>
            <w:tcBorders>
              <w:top w:val="single" w:color="auto" w:sz="4" w:space="0"/>
              <w:left w:val="single" w:color="auto" w:sz="4" w:space="0"/>
              <w:right w:val="single" w:color="auto" w:sz="4" w:space="0"/>
            </w:tcBorders>
            <w:noWrap w:val="0"/>
            <w:vAlign w:val="center"/>
          </w:tcPr>
          <w:p w14:paraId="638CF0B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仿古建筑工程</w:t>
            </w:r>
          </w:p>
        </w:tc>
      </w:tr>
      <w:tr w14:paraId="1B604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286" w:type="dxa"/>
            <w:vMerge w:val="continue"/>
            <w:tcBorders>
              <w:left w:val="single" w:color="auto" w:sz="4" w:space="0"/>
              <w:bottom w:val="single" w:color="auto" w:sz="4" w:space="0"/>
              <w:right w:val="single" w:color="auto" w:sz="4" w:space="0"/>
            </w:tcBorders>
            <w:noWrap w:val="0"/>
            <w:vAlign w:val="center"/>
          </w:tcPr>
          <w:p w14:paraId="37F36DD1">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1061" w:type="dxa"/>
            <w:vMerge w:val="continue"/>
            <w:tcBorders>
              <w:left w:val="single" w:color="auto" w:sz="4" w:space="0"/>
              <w:bottom w:val="single" w:color="auto" w:sz="4" w:space="0"/>
              <w:right w:val="single" w:color="auto" w:sz="4" w:space="0"/>
            </w:tcBorders>
            <w:noWrap w:val="0"/>
            <w:vAlign w:val="center"/>
          </w:tcPr>
          <w:p w14:paraId="5C7C612E">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vMerge w:val="continue"/>
            <w:tcBorders>
              <w:left w:val="single" w:color="auto" w:sz="4" w:space="0"/>
              <w:bottom w:val="single" w:color="auto" w:sz="4" w:space="0"/>
              <w:right w:val="single" w:color="auto" w:sz="4" w:space="0"/>
            </w:tcBorders>
            <w:noWrap w:val="0"/>
            <w:vAlign w:val="center"/>
          </w:tcPr>
          <w:p w14:paraId="4A86D65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950" w:type="dxa"/>
            <w:vMerge w:val="continue"/>
            <w:tcBorders>
              <w:left w:val="single" w:color="auto" w:sz="4" w:space="0"/>
              <w:bottom w:val="single" w:color="auto" w:sz="4" w:space="0"/>
              <w:right w:val="single" w:color="auto" w:sz="4" w:space="0"/>
            </w:tcBorders>
            <w:noWrap w:val="0"/>
            <w:vAlign w:val="center"/>
          </w:tcPr>
          <w:p w14:paraId="69D4C80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725" w:type="dxa"/>
            <w:vMerge w:val="continue"/>
            <w:tcBorders>
              <w:left w:val="single" w:color="auto" w:sz="4" w:space="0"/>
              <w:bottom w:val="single" w:color="auto" w:sz="4" w:space="0"/>
              <w:right w:val="single" w:color="auto" w:sz="4" w:space="0"/>
            </w:tcBorders>
            <w:noWrap w:val="0"/>
            <w:vAlign w:val="center"/>
          </w:tcPr>
          <w:p w14:paraId="073FD30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850" w:type="dxa"/>
            <w:vMerge w:val="continue"/>
            <w:tcBorders>
              <w:left w:val="single" w:color="auto" w:sz="4" w:space="0"/>
              <w:bottom w:val="single" w:color="auto" w:sz="4" w:space="0"/>
              <w:right w:val="single" w:color="auto" w:sz="4" w:space="0"/>
            </w:tcBorders>
            <w:noWrap w:val="0"/>
            <w:vAlign w:val="center"/>
          </w:tcPr>
          <w:p w14:paraId="298544C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1150" w:type="dxa"/>
            <w:tcBorders>
              <w:top w:val="single" w:color="auto" w:sz="4" w:space="0"/>
              <w:left w:val="single" w:color="auto" w:sz="4" w:space="0"/>
              <w:bottom w:val="single" w:color="auto" w:sz="4" w:space="0"/>
              <w:right w:val="single" w:color="auto" w:sz="4" w:space="0"/>
            </w:tcBorders>
            <w:noWrap w:val="0"/>
            <w:vAlign w:val="center"/>
          </w:tcPr>
          <w:p w14:paraId="7867DEB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建筑</w:t>
            </w:r>
          </w:p>
          <w:p w14:paraId="1B707DF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043D91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安装</w:t>
            </w:r>
          </w:p>
          <w:p w14:paraId="37552BD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工程</w:t>
            </w:r>
          </w:p>
        </w:tc>
        <w:tc>
          <w:tcPr>
            <w:tcW w:w="853" w:type="dxa"/>
            <w:vMerge w:val="continue"/>
            <w:tcBorders>
              <w:left w:val="single" w:color="auto" w:sz="4" w:space="0"/>
              <w:bottom w:val="single" w:color="auto" w:sz="4" w:space="0"/>
              <w:right w:val="single" w:color="auto" w:sz="4" w:space="0"/>
            </w:tcBorders>
            <w:noWrap w:val="0"/>
            <w:vAlign w:val="center"/>
          </w:tcPr>
          <w:p w14:paraId="31596C2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885" w:type="dxa"/>
            <w:vMerge w:val="continue"/>
            <w:tcBorders>
              <w:left w:val="single" w:color="auto" w:sz="4" w:space="0"/>
              <w:bottom w:val="single" w:color="auto" w:sz="4" w:space="0"/>
              <w:right w:val="single" w:color="auto" w:sz="4" w:space="0"/>
            </w:tcBorders>
            <w:noWrap w:val="0"/>
            <w:vAlign w:val="center"/>
          </w:tcPr>
          <w:p w14:paraId="4A8020F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r>
      <w:tr w14:paraId="37BAD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1286" w:type="dxa"/>
            <w:tcBorders>
              <w:top w:val="single" w:color="auto" w:sz="4" w:space="0"/>
              <w:left w:val="single" w:color="auto" w:sz="4" w:space="0"/>
              <w:right w:val="single" w:color="auto" w:sz="4" w:space="0"/>
            </w:tcBorders>
            <w:noWrap w:val="0"/>
            <w:vAlign w:val="center"/>
          </w:tcPr>
          <w:p w14:paraId="3169014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环境保护费</w:t>
            </w:r>
          </w:p>
        </w:tc>
        <w:tc>
          <w:tcPr>
            <w:tcW w:w="1061" w:type="dxa"/>
            <w:vMerge w:val="restart"/>
            <w:tcBorders>
              <w:top w:val="single" w:color="auto" w:sz="4" w:space="0"/>
              <w:left w:val="single" w:color="auto" w:sz="4" w:space="0"/>
              <w:bottom w:val="single" w:color="auto" w:sz="4" w:space="0"/>
              <w:right w:val="single" w:color="auto" w:sz="4" w:space="0"/>
            </w:tcBorders>
            <w:noWrap w:val="0"/>
            <w:vAlign w:val="center"/>
          </w:tcPr>
          <w:p w14:paraId="4FFD2C1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定额</w:t>
            </w:r>
          </w:p>
          <w:p w14:paraId="09C06F7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人工费</w:t>
            </w:r>
          </w:p>
          <w:p w14:paraId="4980C9E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p w14:paraId="03E6E84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定额</w:t>
            </w:r>
          </w:p>
          <w:p w14:paraId="6692D36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机械费</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165CF5A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3.28</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27E2FAC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2.60</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268851D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1.78</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393FE2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3.57</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5C5B092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2.46</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FA44E8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1.57</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47BA1A9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1.75</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010BB1D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2.07</w:t>
            </w:r>
          </w:p>
        </w:tc>
      </w:tr>
      <w:tr w14:paraId="36CB7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286" w:type="dxa"/>
            <w:tcBorders>
              <w:top w:val="single" w:color="auto" w:sz="4" w:space="0"/>
              <w:left w:val="single" w:color="auto" w:sz="4" w:space="0"/>
              <w:bottom w:val="single" w:color="auto" w:sz="4" w:space="0"/>
              <w:right w:val="single" w:color="auto" w:sz="4" w:space="0"/>
            </w:tcBorders>
            <w:noWrap w:val="0"/>
            <w:vAlign w:val="center"/>
          </w:tcPr>
          <w:p w14:paraId="0546313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文明施工费</w:t>
            </w:r>
          </w:p>
        </w:tc>
        <w:tc>
          <w:tcPr>
            <w:tcW w:w="1061" w:type="dxa"/>
            <w:vMerge w:val="continue"/>
            <w:tcBorders>
              <w:top w:val="single" w:color="auto" w:sz="4" w:space="0"/>
              <w:left w:val="single" w:color="auto" w:sz="4" w:space="0"/>
              <w:bottom w:val="single" w:color="auto" w:sz="4" w:space="0"/>
              <w:right w:val="single" w:color="auto" w:sz="4" w:space="0"/>
            </w:tcBorders>
            <w:noWrap w:val="0"/>
            <w:vAlign w:val="center"/>
          </w:tcPr>
          <w:p w14:paraId="232EE1A0">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14:paraId="29473B2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5.12</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00A3478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4.50</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0606B6B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6.10</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FD6DF5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7.33</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6FC9014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9.24</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410BF81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6.30</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6B451DF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3.05</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0E319B4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4.67</w:t>
            </w:r>
          </w:p>
        </w:tc>
      </w:tr>
      <w:tr w14:paraId="699D2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286" w:type="dxa"/>
            <w:tcBorders>
              <w:top w:val="single" w:color="auto" w:sz="4" w:space="0"/>
              <w:left w:val="single" w:color="auto" w:sz="4" w:space="0"/>
              <w:bottom w:val="single" w:color="auto" w:sz="4" w:space="0"/>
              <w:right w:val="single" w:color="auto" w:sz="4" w:space="0"/>
            </w:tcBorders>
            <w:noWrap w:val="0"/>
            <w:vAlign w:val="center"/>
          </w:tcPr>
          <w:p w14:paraId="504CBE9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安全施工费</w:t>
            </w:r>
          </w:p>
        </w:tc>
        <w:tc>
          <w:tcPr>
            <w:tcW w:w="1061" w:type="dxa"/>
            <w:vMerge w:val="continue"/>
            <w:tcBorders>
              <w:top w:val="single" w:color="auto" w:sz="4" w:space="0"/>
              <w:left w:val="single" w:color="auto" w:sz="4" w:space="0"/>
              <w:bottom w:val="single" w:color="auto" w:sz="4" w:space="0"/>
              <w:right w:val="single" w:color="auto" w:sz="4" w:space="0"/>
            </w:tcBorders>
            <w:noWrap w:val="0"/>
            <w:vAlign w:val="center"/>
          </w:tcPr>
          <w:p w14:paraId="73576FBB">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14:paraId="7721DE2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4.13</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54A98F6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3.10</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0C97290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4.22</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8575D7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5.28</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5A1BDA4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4.30</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CB91FC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3.23</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1B2D4D3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2.16</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660426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2.27</w:t>
            </w:r>
          </w:p>
        </w:tc>
      </w:tr>
      <w:tr w14:paraId="7DC7F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286" w:type="dxa"/>
            <w:tcBorders>
              <w:top w:val="single" w:color="auto" w:sz="4" w:space="0"/>
              <w:left w:val="single" w:color="auto" w:sz="4" w:space="0"/>
              <w:bottom w:val="single" w:color="auto" w:sz="4" w:space="0"/>
              <w:right w:val="single" w:color="auto" w:sz="4" w:space="0"/>
            </w:tcBorders>
            <w:noWrap w:val="0"/>
            <w:vAlign w:val="center"/>
          </w:tcPr>
          <w:p w14:paraId="7839FE2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临时设施费</w:t>
            </w:r>
          </w:p>
        </w:tc>
        <w:tc>
          <w:tcPr>
            <w:tcW w:w="1061" w:type="dxa"/>
            <w:vMerge w:val="continue"/>
            <w:tcBorders>
              <w:top w:val="single" w:color="auto" w:sz="4" w:space="0"/>
              <w:left w:val="single" w:color="auto" w:sz="4" w:space="0"/>
              <w:bottom w:val="single" w:color="auto" w:sz="4" w:space="0"/>
              <w:right w:val="single" w:color="auto" w:sz="4" w:space="0"/>
            </w:tcBorders>
            <w:noWrap w:val="0"/>
            <w:vAlign w:val="center"/>
          </w:tcPr>
          <w:p w14:paraId="25DE866C">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14:paraId="6D90AF2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8.10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722EA6A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5.80</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31D2E17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4.60</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88B7F0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7.99</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11A09E7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8.10</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E30948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4.60</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181C0E7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3.20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68578D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3.98</w:t>
            </w:r>
          </w:p>
        </w:tc>
      </w:tr>
    </w:tbl>
    <w:p w14:paraId="688052FD">
      <w:pPr>
        <w:adjustRightInd w:val="0"/>
        <w:snapToGrid w:val="0"/>
        <w:spacing w:line="360" w:lineRule="auto"/>
        <w:ind w:firstLine="420" w:firstLineChars="200"/>
        <w:rPr>
          <w:rFonts w:hint="eastAsia" w:ascii="宋体" w:hAnsi="宋体" w:cs="宋体"/>
          <w:color w:val="auto"/>
          <w:szCs w:val="21"/>
          <w:highlight w:val="none"/>
        </w:rPr>
      </w:pPr>
    </w:p>
    <w:p w14:paraId="5C6BDD33">
      <w:pPr>
        <w:adjustRightInd w:val="0"/>
        <w:snapToGrid w:val="0"/>
        <w:spacing w:line="360" w:lineRule="auto"/>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 xml:space="preserve">2.编制依据 </w:t>
      </w:r>
    </w:p>
    <w:p w14:paraId="7AF65BD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本项目采用工程量清单计价。</w:t>
      </w:r>
    </w:p>
    <w:p w14:paraId="41E47A7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 除招标文件另有约定外，本项目计税采用增值税一般计税方法。</w:t>
      </w:r>
    </w:p>
    <w:p w14:paraId="45BEB98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 建设工程造价由分部分项工程费、措施项目费、不可竞争费、其他项目费和税金构成。</w:t>
      </w:r>
    </w:p>
    <w:p w14:paraId="4981992B">
      <w:pPr>
        <w:adjustRightInd w:val="0"/>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2.4 分部分项工程项目清单采用综合单价计价。综合单价是指完成一个规定计量单位的分部分项工程和措施清单项目所需的人工费、材料和工程设备费、施工机具使用费和综合费（企业管理费和利润）以及一定范围内的风险费用</w:t>
      </w:r>
      <w:r>
        <w:rPr>
          <w:rFonts w:hint="eastAsia" w:ascii="宋体" w:hAnsi="宋体" w:cs="宋体"/>
          <w:color w:val="auto"/>
          <w:szCs w:val="21"/>
          <w:highlight w:val="none"/>
          <w:lang w:val="en-US" w:eastAsia="zh-CN"/>
        </w:rPr>
        <w:t>。</w:t>
      </w:r>
    </w:p>
    <w:p w14:paraId="5C7DF326">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w:t>
      </w:r>
      <w:bookmarkStart w:id="937" w:name="_Toc95223518"/>
      <w:bookmarkStart w:id="938" w:name="_Toc19788"/>
      <w:bookmarkStart w:id="939" w:name="_Toc95223521"/>
      <w:bookmarkStart w:id="940" w:name="_Toc4881"/>
      <w:r>
        <w:rPr>
          <w:rFonts w:hint="eastAsia" w:ascii="宋体" w:hAnsi="宋体" w:eastAsia="宋体" w:cs="宋体"/>
          <w:b/>
          <w:bCs/>
          <w:color w:val="auto"/>
          <w:szCs w:val="21"/>
          <w:highlight w:val="none"/>
          <w:lang w:val="en-US" w:eastAsia="zh-CN"/>
        </w:rPr>
        <w:t>招标工程量清单编制要求</w:t>
      </w:r>
      <w:bookmarkEnd w:id="937"/>
      <w:bookmarkEnd w:id="938"/>
    </w:p>
    <w:p w14:paraId="78CAF63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 招标工程量清单编制依据如下：</w:t>
      </w:r>
    </w:p>
    <w:p w14:paraId="09A8AAC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（1）2018版安徽省建设工程工程量清单计价办法；</w:t>
      </w:r>
    </w:p>
    <w:p w14:paraId="1CD281E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（2）《关于调整安徽省建设工程不可竞争费构成及计费标准的通知》（建标〔2021〕42号）； </w:t>
      </w:r>
    </w:p>
    <w:p w14:paraId="2964E02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（3）建设工程设计文件及相关资料；</w:t>
      </w:r>
    </w:p>
    <w:p w14:paraId="5D2B222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（4）与建设项目有关的标准、规范、技术资料；</w:t>
      </w:r>
    </w:p>
    <w:p w14:paraId="7B4C145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（5）拟定的招标文件及其补充通知答疑纪要； </w:t>
      </w:r>
    </w:p>
    <w:p w14:paraId="5AFEE90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（6）施工现场情况、地勘水文资料、工程特点及常规施工方案；</w:t>
      </w:r>
    </w:p>
    <w:p w14:paraId="7CFAAFE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（7）招标人对项目其他相关要求文件。</w:t>
      </w:r>
    </w:p>
    <w:p w14:paraId="38EC6F8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 招标工程量清单作为招标文件的组成部分，是编制最高投标限价、投标报价、计算工程量、调整合同价款、办理工程竣工结算以及工程索赔等的依据。</w:t>
      </w:r>
    </w:p>
    <w:p w14:paraId="703E7EB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 投标人在投标报价过程中有责任和义务对招标人提供的工程量清单进行分析和核对,发现问题应按招标文件要求以书面形式告知招标人。</w:t>
      </w:r>
    </w:p>
    <w:p w14:paraId="39CAA0B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 工程量清单由分部分项工程量清单、措施项目清单、不可竞争项目清单、其他项目清单、税金项目清单组成。采用统一格式和表格，具体构成内容见“工程量清单”。</w:t>
      </w:r>
    </w:p>
    <w:p w14:paraId="4595995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 分部分项工程量清单项目特征是结合本工程项目的实际情况予以描述的，对清单项目的技术和质量有要求的，见招标文件技术部分。措施项目清单中通用部分遵循计价规范编制，专业工程措施项目按规定和工程实际情况确定。</w:t>
      </w:r>
    </w:p>
    <w:p w14:paraId="3C3EBC0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 招标工程量清单编制范围应与招标文件中明确的工程招标范围一致。工程量清单的组成内容应当完整、项目特征描述应准确全面，与施工图纸保持一致。</w:t>
      </w:r>
    </w:p>
    <w:p w14:paraId="28476763">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bookmarkStart w:id="941" w:name="_Toc23910"/>
      <w:bookmarkStart w:id="942" w:name="_Toc95223519"/>
      <w:r>
        <w:rPr>
          <w:rFonts w:hint="eastAsia" w:ascii="宋体" w:hAnsi="宋体" w:eastAsia="宋体" w:cs="宋体"/>
          <w:b/>
          <w:bCs/>
          <w:color w:val="auto"/>
          <w:szCs w:val="21"/>
          <w:highlight w:val="none"/>
          <w:lang w:val="en-US" w:eastAsia="zh-CN"/>
        </w:rPr>
        <w:t>4. 最高投标限价编制要求</w:t>
      </w:r>
      <w:bookmarkEnd w:id="941"/>
      <w:bookmarkEnd w:id="942"/>
    </w:p>
    <w:p w14:paraId="35E7ED1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 最高投标限价编制依据如下：</w:t>
      </w:r>
    </w:p>
    <w:p w14:paraId="7D4EB4E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（1）2018版安徽省建设工程费用定额；</w:t>
      </w:r>
    </w:p>
    <w:p w14:paraId="5C8CC60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（2）2018版安徽省建设工程施工机械台班费用编制规则；</w:t>
      </w:r>
    </w:p>
    <w:p w14:paraId="688595B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（3）2018版安徽省配套计价定额；</w:t>
      </w:r>
    </w:p>
    <w:p w14:paraId="7355293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（4）《关于调整安徽省建设工程不可竞争费构成及计费标准的通知》（建标〔2021〕42号）； </w:t>
      </w:r>
    </w:p>
    <w:p w14:paraId="7F94085C">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《关于发布《安徽省建设工程计价依据动态调整(第1期)》的公告》（安徽省住房和城乡建设厅公告第51号）</w:t>
      </w:r>
    </w:p>
    <w:p w14:paraId="7265803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（6）建设工程设计文件及相关资料；</w:t>
      </w:r>
    </w:p>
    <w:p w14:paraId="717441F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（7）与建设项目有关的标准、规范、技术资料；</w:t>
      </w:r>
    </w:p>
    <w:p w14:paraId="04F6E4F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（8）招标文件及招标工程量清单及其补充通知答疑纪要； </w:t>
      </w:r>
    </w:p>
    <w:p w14:paraId="2FAE678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（9）施工现场情况、工程特点及常规施工方案；</w:t>
      </w:r>
    </w:p>
    <w:p w14:paraId="1F4B162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（10）工程造价管理机构发布的工程造价信息；</w:t>
      </w:r>
    </w:p>
    <w:p w14:paraId="45288B1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（11）施工期间的风险因素；</w:t>
      </w:r>
    </w:p>
    <w:p w14:paraId="2BC8880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（12）省、市的有关政策性文件</w:t>
      </w:r>
    </w:p>
    <w:p w14:paraId="46FA6E9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）其他相关材料。</w:t>
      </w:r>
    </w:p>
    <w:p w14:paraId="1289C2A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4.2</w:t>
      </w:r>
      <w:r>
        <w:rPr>
          <w:rFonts w:hint="eastAsia" w:ascii="宋体" w:hAnsi="宋体" w:eastAsia="宋体" w:cs="宋体"/>
          <w:color w:val="auto"/>
          <w:szCs w:val="21"/>
          <w:highlight w:val="none"/>
        </w:rPr>
        <w:t xml:space="preserve"> 材料价格：按《滁州工程造价信息》发布的不含税价格和市场询价编制。本工程混凝土、砂浆使用</w:t>
      </w:r>
      <w:r>
        <w:rPr>
          <w:rFonts w:hint="eastAsia" w:ascii="宋体" w:hAnsi="宋体" w:eastAsia="宋体" w:cs="宋体"/>
          <w:color w:val="auto"/>
          <w:szCs w:val="21"/>
          <w:highlight w:val="none"/>
          <w:u w:val="single"/>
        </w:rPr>
        <w:t xml:space="preserve">  商品混凝土、预拌砂浆</w:t>
      </w:r>
      <w:r>
        <w:rPr>
          <w:rFonts w:hint="eastAsia" w:ascii="宋体" w:hAnsi="宋体" w:eastAsia="宋体" w:cs="宋体"/>
          <w:color w:val="auto"/>
          <w:szCs w:val="21"/>
          <w:highlight w:val="none"/>
        </w:rPr>
        <w:t>。</w:t>
      </w:r>
    </w:p>
    <w:p w14:paraId="3DA1E95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4.3</w:t>
      </w:r>
      <w:r>
        <w:rPr>
          <w:rFonts w:hint="eastAsia" w:ascii="宋体" w:hAnsi="宋体" w:eastAsia="宋体" w:cs="宋体"/>
          <w:color w:val="auto"/>
          <w:szCs w:val="21"/>
          <w:highlight w:val="none"/>
        </w:rPr>
        <w:t>暂列金额与暂估价</w:t>
      </w:r>
    </w:p>
    <w:p w14:paraId="5886EAD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本工程暂列金额与暂估价详见招标人发布的最高投标限价。</w:t>
      </w:r>
    </w:p>
    <w:p w14:paraId="6E8B095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 最高投标限价为本次招标工程限定的最高投标限价，应当在工程所在地建设主管部门备案。最高投标限价不做上调或下浮。如最高投标限价超过批准的概算，招标人应将其报原概算审批部门审核。</w:t>
      </w:r>
    </w:p>
    <w:p w14:paraId="79351F4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最高投标限价应采用工程单价计价，正确、全面地使用国家、省市标准、计价定额以及相关文件，成果文件质量应符合相关标准及规程的规定。最高</w:t>
      </w:r>
      <w:r>
        <w:rPr>
          <w:rFonts w:hint="eastAsia" w:ascii="宋体" w:hAnsi="宋体" w:cs="宋体"/>
          <w:color w:val="auto"/>
          <w:szCs w:val="21"/>
          <w:highlight w:val="none"/>
        </w:rPr>
        <w:t>投标限价包括分部分项工程费、措施项目费、不可竞争费、其他项目费和税金。</w:t>
      </w:r>
    </w:p>
    <w:p w14:paraId="44BF430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 分部分项工程费按本招标文件的分部分项工程量清单的特征描述及有关要求，结合第4.1款编制依据确定。</w:t>
      </w:r>
    </w:p>
    <w:p w14:paraId="600C418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（1）综合单价中人工和施工机械台班单价按省级和工程所在地的市级工程造价管理机构公布的单价计算；</w:t>
      </w:r>
    </w:p>
    <w:p w14:paraId="2D00E16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（2）综合单价中材料、工程设备单价按省级和工程所在地的市级工程造价管理机构公布的单价以及本招标文件规定的暂估价、市场调查价格计算；</w:t>
      </w:r>
    </w:p>
    <w:p w14:paraId="4925654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（3）本招标文件中列有材料、设备暂估价的，按暂估价计算；</w:t>
      </w:r>
    </w:p>
    <w:p w14:paraId="787DBD8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（4）综合单价中人工、材料和施工机械台班消耗量均按2018版安徽省定额消耗量计算；</w:t>
      </w:r>
    </w:p>
    <w:p w14:paraId="57A3FAE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（5）综合单价中综合费费率按2018版安徽省建设工程计价依据；</w:t>
      </w:r>
    </w:p>
    <w:p w14:paraId="64B9AE92">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（6）综合单价中应包括招标文件约定的应由投标人承担的风险范围及其费用，风险按本招标文件第4.1款约定计算。</w:t>
      </w:r>
    </w:p>
    <w:p w14:paraId="6C51230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xml:space="preserve"> 措施项目费按本招标文件中的措施项目清单，根据拟定的招标文件和常规施工方案确定。对于施工机械设备的选型根据工程特点和施工条件，本着经济实用、先进高效的原则确定。措施项目费依据项目具体情况进行合理确定，复杂项目需按专家论证后的方案编制。</w:t>
      </w:r>
    </w:p>
    <w:p w14:paraId="02F823F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 xml:space="preserve"> 不可竞争费（含安全文明施工费、</w:t>
      </w:r>
      <w:r>
        <w:rPr>
          <w:rFonts w:hint="eastAsia"/>
          <w:color w:val="auto"/>
          <w:highlight w:val="none"/>
        </w:rPr>
        <w:t>环境保护税</w:t>
      </w:r>
      <w:r>
        <w:rPr>
          <w:rFonts w:hint="eastAsia" w:ascii="宋体" w:hAnsi="宋体" w:cs="宋体"/>
          <w:color w:val="auto"/>
          <w:szCs w:val="21"/>
          <w:highlight w:val="none"/>
        </w:rPr>
        <w:t>）按本招标文件中的不可竞争项目清单编制确定。</w:t>
      </w:r>
    </w:p>
    <w:p w14:paraId="3BFC4E1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 xml:space="preserve"> 其他项目费用应按照下列规定计价:</w:t>
      </w:r>
    </w:p>
    <w:p w14:paraId="178FC57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（1）暂列金额按招标工程量清单中列出的金额填写；</w:t>
      </w:r>
    </w:p>
    <w:p w14:paraId="7389115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（2）专业工程暂估价按招标工程量清单中列出的金额填写；</w:t>
      </w:r>
    </w:p>
    <w:p w14:paraId="6A479FF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（3）计日工按招标人列出项目和数量，结合第4.1款编制依据的要求确定综合单价并计算费用； </w:t>
      </w:r>
    </w:p>
    <w:p w14:paraId="1A2AA28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（4）总承包服务费根据招标文件列出的内容和要求计算。</w:t>
      </w:r>
    </w:p>
    <w:p w14:paraId="34C8F7D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 xml:space="preserve"> 税金（增值税）按税金项目清单，结合第4.1款编制依据的要求编制，不得降低标准。</w:t>
      </w:r>
    </w:p>
    <w:p w14:paraId="41077D7B">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bookmarkStart w:id="943" w:name="_Toc95223520"/>
      <w:bookmarkStart w:id="944" w:name="_Toc4166"/>
      <w:r>
        <w:rPr>
          <w:rFonts w:hint="eastAsia" w:ascii="宋体" w:hAnsi="宋体" w:eastAsia="宋体" w:cs="宋体"/>
          <w:b/>
          <w:bCs/>
          <w:color w:val="auto"/>
          <w:szCs w:val="21"/>
          <w:highlight w:val="none"/>
          <w:lang w:val="en-US" w:eastAsia="zh-CN"/>
        </w:rPr>
        <w:t>5. 投标报价参考编制要求</w:t>
      </w:r>
      <w:bookmarkEnd w:id="943"/>
      <w:bookmarkEnd w:id="944"/>
    </w:p>
    <w:p w14:paraId="69CC69D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 投标报价编制参考依据如下：</w:t>
      </w:r>
    </w:p>
    <w:p w14:paraId="447D4FD6">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（1）2018版安徽省建设工程费用定额；</w:t>
      </w:r>
    </w:p>
    <w:p w14:paraId="40A8D0F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（2）2018版安徽省建设工程施工机械台班费用编制规则；</w:t>
      </w:r>
    </w:p>
    <w:p w14:paraId="3199F02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（3）2018版安徽省配套计价定额；</w:t>
      </w:r>
    </w:p>
    <w:p w14:paraId="5EC4FC8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（4）《关于调整安徽省建设工程不可竞争费构成及计费标准的通知》（建标〔2021〕42号）； </w:t>
      </w:r>
    </w:p>
    <w:p w14:paraId="41E0B298">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《关于发布《安徽省建设工程计价依据动态调整(第1期)》的公告》（安徽省住房和城乡建设厅公告第51号）</w:t>
      </w:r>
    </w:p>
    <w:p w14:paraId="07E5E4A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（6）建设工程设计文件及相关资料；</w:t>
      </w:r>
    </w:p>
    <w:p w14:paraId="71AB2E6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（7）与建设项目有关的标准、规范、技术资料；</w:t>
      </w:r>
    </w:p>
    <w:p w14:paraId="6E5D905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（8）招标文件及招标工程量清单及其补充通知答疑纪要； </w:t>
      </w:r>
    </w:p>
    <w:p w14:paraId="4274B5C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（9）施工现场情况、工程特点及常规施工方案；</w:t>
      </w:r>
    </w:p>
    <w:p w14:paraId="0E0D636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（10）工程造价管理机构发布的工程造价信息；</w:t>
      </w:r>
    </w:p>
    <w:p w14:paraId="0BED476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（11）施工期间的风险因素；</w:t>
      </w:r>
    </w:p>
    <w:p w14:paraId="13BC938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（12）其他相关材料。</w:t>
      </w:r>
    </w:p>
    <w:p w14:paraId="1E26A67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 投标人应仔细阅读招标文件，了解拟投标合同段的全部工程内容。投标人的投标报价应是招标文件所确定的招标范围内全部工程内容的价格体现，但其投标报价不得低于投标人个别成本价。</w:t>
      </w:r>
    </w:p>
    <w:p w14:paraId="0494957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投标人应按招标人提供的招标工程量清单填报综合单价和合价，未填报的综合单价和合价，视为此项费用已合在工程量清单的其他综合单价和合价中。</w:t>
      </w:r>
    </w:p>
    <w:p w14:paraId="19A2ECB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 分部分项工程费根据招标文件中的工程量清单项目及项目特征描述等确定综合单价。其中综合单价是指完成一个规定清单项目所需的人工费、材料和工程设备费、施工机具使用费和综合费（企业管理费和利润）以及一定范围内投标人承担的的风险费用。</w:t>
      </w:r>
    </w:p>
    <w:p w14:paraId="0E72BECF">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 措施项目费根据招标文件中的工程量清单措施项目，结合第5.1款编制依据确定。投标人对招标人所列的措施项目可根据工程实际情况结合施工组织设计进行增补。</w:t>
      </w:r>
    </w:p>
    <w:p w14:paraId="497AB4C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5.6 不可竞争费（含安全文明施工费、</w:t>
      </w:r>
      <w:r>
        <w:rPr>
          <w:rFonts w:hint="eastAsia"/>
          <w:color w:val="auto"/>
          <w:highlight w:val="none"/>
        </w:rPr>
        <w:t>环境保护税</w:t>
      </w:r>
      <w:r>
        <w:rPr>
          <w:rFonts w:hint="eastAsia" w:ascii="宋体" w:hAnsi="宋体" w:cs="宋体"/>
          <w:color w:val="auto"/>
          <w:szCs w:val="21"/>
          <w:highlight w:val="none"/>
        </w:rPr>
        <w:t>）根据工程量清单不可竞争项目，结合第5.1款编制依据确定，安全文明施工费费率不得调整。</w:t>
      </w:r>
    </w:p>
    <w:p w14:paraId="01DC890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5.7 其他项目费用应按照下列规定计价:</w:t>
      </w:r>
    </w:p>
    <w:p w14:paraId="7F488C7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（1）暂列金额按招标工程量清单中列出的金额填写，不得更改；</w:t>
      </w:r>
    </w:p>
    <w:p w14:paraId="73A9E18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（2）专业工程暂估价按招标工程量清单中列出的金额填写，不得更改；</w:t>
      </w:r>
    </w:p>
    <w:p w14:paraId="292AD80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（3）计日工按招标人列出项目和数量，结合第5.1款编制依据的要求确定综合单价并计算费用； </w:t>
      </w:r>
    </w:p>
    <w:p w14:paraId="5927732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（4）总承包服务费根据招标文件列出的内容和要求计算。</w:t>
      </w:r>
    </w:p>
    <w:p w14:paraId="162D4E7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5.8 税金（增值税）按税金项目清单，结合第5.1款编制依据的要求编制，不得调整。</w:t>
      </w:r>
    </w:p>
    <w:p w14:paraId="262898E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5.9 投标报价编制注意事项</w:t>
      </w:r>
    </w:p>
    <w:p w14:paraId="09020ACC">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可调整价格的主要材料和甲供材及实行暂估价的材料及设备以外，其他由投标人自行采购的材料确定投标报价时应充分考虑材料价格上涨等市场风险因素，中标后不作调整，综合单价中的材料费应包含材料运杂费、采保费等一切应有费用；</w:t>
      </w:r>
    </w:p>
    <w:p w14:paraId="449930E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（2）结算时实行暂估价的材料和设备的价差仅计取税金，不再计取其他费用；</w:t>
      </w:r>
    </w:p>
    <w:p w14:paraId="18637AD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招标工程的施工地点为本须知前附表所述，投标人应自行到施工现场踏勘以充分了解工地位置、情况、道路、储存空间、装卸限制及任何其他足以影响投标报价的情况，任何因忽视或误解施工场地情况而导致的索赔或工期延长申请将不被批准。对于受施工现场场地限制，如需要另外寻找场地解决临时住宿、材料及设备堆放，由此所产生的费用应包含在投标报价范围内，招标人不再承担该费用；</w:t>
      </w:r>
    </w:p>
    <w:p w14:paraId="02B10AE0">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开标前，投标人应认真对照施工设计图纸等文件核对招标人提供的工程量清单，发现工程量存在项目划分误差、计量单位误差、数量误差、遗漏项目的，必须在招标文件规定的时间内向招标人提出异议或修正要求，否则招标人可不予答复；</w:t>
      </w:r>
    </w:p>
    <w:p w14:paraId="20F3879A">
      <w:pPr>
        <w:adjustRightInd w:val="0"/>
        <w:snapToGrid w:val="0"/>
        <w:spacing w:line="360"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（5）招标人对异议或修正要求应进行核实，确认工程量单项子目误差在±3%（含±3%）以内的，招标人可不予调整工程量，投标人应将其误差考虑在综合单价内；若有遗漏项目或单项子目工</w:t>
      </w:r>
      <w:r>
        <w:rPr>
          <w:rFonts w:hint="eastAsia" w:ascii="宋体" w:hAnsi="宋体" w:cs="宋体"/>
          <w:b/>
          <w:bCs/>
          <w:color w:val="auto"/>
          <w:szCs w:val="21"/>
          <w:highlight w:val="none"/>
        </w:rPr>
        <w:t>程量误差超过±3%的，招标人应进行修正并重新公布准确的工程量清单；</w:t>
      </w:r>
    </w:p>
    <w:p w14:paraId="6C7CC648">
      <w:pPr>
        <w:adjustRightInd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 除合同另有约定外，中标人在工程量清单报价书中所报的综合单价在施工图纸和合同约定范围一律不予调整；</w:t>
      </w:r>
    </w:p>
    <w:p w14:paraId="7CC142F3">
      <w:pPr>
        <w:adjustRightInd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（7）本招标工程不接受恶意不平衡报价，不保证最低价中标。</w:t>
      </w:r>
    </w:p>
    <w:p w14:paraId="16C65AB6">
      <w:pPr>
        <w:adjustRightInd w:val="0"/>
        <w:snapToGrid w:val="0"/>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 工程量清单</w:t>
      </w:r>
      <w:bookmarkEnd w:id="939"/>
      <w:bookmarkEnd w:id="940"/>
    </w:p>
    <w:p w14:paraId="168D8F4E">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另</w:t>
      </w:r>
      <w:r>
        <w:rPr>
          <w:rFonts w:hint="eastAsia" w:ascii="宋体" w:hAnsi="宋体" w:cs="宋体"/>
          <w:color w:val="auto"/>
          <w:szCs w:val="21"/>
          <w:highlight w:val="none"/>
          <w:lang w:val="en-US" w:eastAsia="zh-CN"/>
        </w:rPr>
        <w:t>附</w:t>
      </w:r>
      <w:r>
        <w:rPr>
          <w:rFonts w:hint="eastAsia" w:ascii="宋体" w:hAnsi="宋体" w:cs="宋体"/>
          <w:color w:val="auto"/>
          <w:szCs w:val="21"/>
          <w:highlight w:val="none"/>
        </w:rPr>
        <w:t>。</w:t>
      </w:r>
    </w:p>
    <w:p w14:paraId="15321AFA">
      <w:pPr>
        <w:pStyle w:val="43"/>
        <w:numPr>
          <w:ilvl w:val="0"/>
          <w:numId w:val="0"/>
        </w:numPr>
        <w:spacing w:beforeLines="50" w:afterLines="50" w:line="440" w:lineRule="exact"/>
        <w:jc w:val="center"/>
        <w:rPr>
          <w:rFonts w:hint="eastAsia" w:eastAsia="宋体" w:cs="Times New Roman"/>
          <w:bCs/>
          <w:color w:val="auto"/>
          <w:szCs w:val="32"/>
          <w:highlight w:val="none"/>
          <w:lang w:val="en-US" w:eastAsia="zh-CN"/>
        </w:rPr>
      </w:pPr>
    </w:p>
    <w:p w14:paraId="4343AFE1">
      <w:pPr>
        <w:pStyle w:val="43"/>
        <w:numPr>
          <w:ilvl w:val="0"/>
          <w:numId w:val="0"/>
        </w:numPr>
        <w:spacing w:beforeLines="50" w:afterLines="50" w:line="440" w:lineRule="exact"/>
        <w:jc w:val="center"/>
        <w:rPr>
          <w:rFonts w:hint="eastAsia" w:eastAsia="宋体" w:cs="Times New Roman"/>
          <w:bCs/>
          <w:color w:val="auto"/>
          <w:szCs w:val="32"/>
          <w:highlight w:val="none"/>
        </w:rPr>
      </w:pPr>
      <w:bookmarkStart w:id="945" w:name="_Toc20597"/>
      <w:bookmarkStart w:id="946" w:name="_Toc10023"/>
      <w:bookmarkStart w:id="947" w:name="_Toc25013"/>
      <w:r>
        <w:rPr>
          <w:rFonts w:hint="eastAsia" w:ascii="Arial" w:hAnsi="Arial" w:eastAsia="宋体" w:cs="Times New Roman"/>
          <w:b/>
          <w:bCs/>
          <w:color w:val="auto"/>
          <w:kern w:val="0"/>
          <w:sz w:val="32"/>
          <w:szCs w:val="32"/>
          <w:highlight w:val="none"/>
          <w:lang w:val="en-US" w:eastAsia="zh-CN" w:bidi="ar-SA"/>
        </w:rPr>
        <w:t>第六章</w:t>
      </w:r>
      <w:r>
        <w:rPr>
          <w:rFonts w:hint="eastAsia" w:cs="Times New Roman"/>
          <w:b/>
          <w:bCs/>
          <w:color w:val="auto"/>
          <w:kern w:val="0"/>
          <w:sz w:val="32"/>
          <w:szCs w:val="32"/>
          <w:highlight w:val="none"/>
          <w:lang w:val="en-US" w:eastAsia="zh-CN" w:bidi="ar-SA"/>
        </w:rPr>
        <w:t xml:space="preserve">  </w:t>
      </w:r>
      <w:r>
        <w:rPr>
          <w:rFonts w:hint="eastAsia" w:eastAsia="宋体" w:cs="Times New Roman"/>
          <w:bCs/>
          <w:color w:val="auto"/>
          <w:szCs w:val="32"/>
          <w:highlight w:val="none"/>
          <w:lang w:val="en-US" w:eastAsia="zh-CN"/>
        </w:rPr>
        <w:t>图纸</w:t>
      </w:r>
      <w:bookmarkEnd w:id="945"/>
      <w:bookmarkEnd w:id="946"/>
      <w:bookmarkEnd w:id="947"/>
    </w:p>
    <w:p w14:paraId="25D4E36D">
      <w:pPr>
        <w:pStyle w:val="43"/>
        <w:numPr>
          <w:ilvl w:val="0"/>
          <w:numId w:val="0"/>
        </w:numPr>
        <w:spacing w:beforeLines="50" w:afterLines="50" w:line="440" w:lineRule="exact"/>
        <w:jc w:val="center"/>
        <w:rPr>
          <w:rFonts w:hint="eastAsia" w:eastAsia="宋体" w:cs="Times New Roman"/>
          <w:bCs/>
          <w:color w:val="auto"/>
          <w:szCs w:val="32"/>
          <w:highlight w:val="none"/>
          <w:lang w:val="en-US" w:eastAsia="zh-CN"/>
        </w:rPr>
      </w:pPr>
      <w:bookmarkStart w:id="948" w:name="_Toc5510"/>
      <w:bookmarkStart w:id="949" w:name="_Toc23816"/>
      <w:bookmarkStart w:id="950" w:name="_Toc18733"/>
      <w:r>
        <w:rPr>
          <w:rFonts w:hint="eastAsia" w:eastAsia="宋体" w:cs="Times New Roman"/>
          <w:bCs/>
          <w:color w:val="auto"/>
          <w:szCs w:val="32"/>
          <w:highlight w:val="none"/>
          <w:lang w:val="en-US" w:eastAsia="zh-CN"/>
        </w:rPr>
        <w:t>另附</w:t>
      </w:r>
      <w:bookmarkEnd w:id="948"/>
      <w:bookmarkEnd w:id="949"/>
      <w:bookmarkEnd w:id="950"/>
    </w:p>
    <w:p w14:paraId="2D37CADC">
      <w:pPr>
        <w:pStyle w:val="43"/>
        <w:numPr>
          <w:ilvl w:val="0"/>
          <w:numId w:val="0"/>
        </w:numPr>
        <w:spacing w:beforeLines="50" w:afterLines="50" w:line="440" w:lineRule="exact"/>
        <w:jc w:val="center"/>
        <w:rPr>
          <w:rFonts w:hint="eastAsia" w:eastAsia="宋体" w:cs="Times New Roman"/>
          <w:bCs/>
          <w:color w:val="auto"/>
          <w:szCs w:val="32"/>
          <w:highlight w:val="none"/>
          <w:lang w:val="en-US" w:eastAsia="zh-CN"/>
        </w:rPr>
      </w:pPr>
    </w:p>
    <w:p w14:paraId="53422BA0">
      <w:pPr>
        <w:pStyle w:val="43"/>
        <w:numPr>
          <w:ilvl w:val="0"/>
          <w:numId w:val="0"/>
        </w:numPr>
        <w:spacing w:beforeLines="50" w:afterLines="50" w:line="440" w:lineRule="exact"/>
        <w:jc w:val="center"/>
        <w:rPr>
          <w:rFonts w:hint="eastAsia" w:eastAsia="宋体" w:cs="Times New Roman"/>
          <w:bCs/>
          <w:color w:val="auto"/>
          <w:szCs w:val="32"/>
          <w:highlight w:val="none"/>
          <w:lang w:val="en-US" w:eastAsia="zh-CN"/>
        </w:rPr>
      </w:pPr>
    </w:p>
    <w:p w14:paraId="6A28674B">
      <w:pPr>
        <w:pStyle w:val="43"/>
        <w:numPr>
          <w:ilvl w:val="0"/>
          <w:numId w:val="0"/>
        </w:numPr>
        <w:spacing w:beforeLines="50" w:afterLines="50" w:line="440" w:lineRule="exact"/>
        <w:jc w:val="center"/>
        <w:rPr>
          <w:rFonts w:hint="eastAsia" w:cs="Times New Roman"/>
          <w:bCs/>
          <w:color w:val="auto"/>
          <w:szCs w:val="32"/>
          <w:highlight w:val="none"/>
          <w:lang w:val="en-US" w:eastAsia="zh-CN"/>
        </w:rPr>
      </w:pPr>
      <w:bookmarkStart w:id="951" w:name="_Toc24902"/>
      <w:r>
        <w:rPr>
          <w:rFonts w:hint="eastAsia" w:cs="Times New Roman"/>
          <w:bCs/>
          <w:color w:val="auto"/>
          <w:szCs w:val="32"/>
          <w:highlight w:val="none"/>
          <w:lang w:val="en-US" w:eastAsia="zh-CN"/>
        </w:rPr>
        <w:t>第七章  技术标准和要求</w:t>
      </w:r>
      <w:bookmarkEnd w:id="951"/>
    </w:p>
    <w:p w14:paraId="49AF09AF">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1. 一般要求  </w:t>
      </w:r>
    </w:p>
    <w:p w14:paraId="3879D0A5">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2. 特殊技术标准和要求  </w:t>
      </w:r>
    </w:p>
    <w:p w14:paraId="190A530F">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3. 适用的国家、行业以及地方标准、规范和规程  </w:t>
      </w:r>
    </w:p>
    <w:p w14:paraId="48B68228">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4、其他现行的有关规范、行业标准；</w:t>
      </w:r>
    </w:p>
    <w:p w14:paraId="7438573F">
      <w:pPr>
        <w:keepNext w:val="0"/>
        <w:keepLines w:val="0"/>
        <w:widowControl w:val="0"/>
        <w:suppressLineNumbers w:val="0"/>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5、如国家对上述标准规范有调整，按最新标准和规范为准</w:t>
      </w:r>
      <w:r>
        <w:rPr>
          <w:rFonts w:hint="eastAsia" w:ascii="宋体" w:hAnsi="宋体" w:cs="宋体"/>
          <w:color w:val="auto"/>
          <w:kern w:val="2"/>
          <w:sz w:val="21"/>
          <w:szCs w:val="21"/>
          <w:highlight w:val="none"/>
          <w:lang w:val="en-US" w:eastAsia="zh-CN" w:bidi="ar"/>
        </w:rPr>
        <w:t>。</w:t>
      </w:r>
    </w:p>
    <w:p w14:paraId="2A7A95E3">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i w:val="0"/>
          <w:iCs w:val="0"/>
          <w:color w:val="auto"/>
          <w:kern w:val="0"/>
          <w:sz w:val="21"/>
          <w:szCs w:val="21"/>
          <w:highlight w:val="none"/>
        </w:rPr>
      </w:pPr>
    </w:p>
    <w:p w14:paraId="0CC820A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1CB2AC58">
      <w:pPr>
        <w:rPr>
          <w:rFonts w:hint="eastAsia"/>
          <w:bCs/>
          <w:color w:val="auto"/>
          <w:szCs w:val="32"/>
          <w:highlight w:val="none"/>
        </w:rPr>
      </w:pPr>
      <w:r>
        <w:rPr>
          <w:rFonts w:hint="eastAsia"/>
          <w:bCs/>
          <w:color w:val="auto"/>
          <w:szCs w:val="32"/>
          <w:highlight w:val="none"/>
        </w:rPr>
        <w:br w:type="page"/>
      </w:r>
    </w:p>
    <w:p w14:paraId="32357EC1">
      <w:pPr>
        <w:pStyle w:val="43"/>
        <w:spacing w:beforeLines="50" w:afterLines="50" w:line="440" w:lineRule="exact"/>
        <w:rPr>
          <w:bCs/>
          <w:color w:val="auto"/>
          <w:szCs w:val="32"/>
          <w:highlight w:val="none"/>
        </w:rPr>
      </w:pPr>
      <w:bookmarkStart w:id="952" w:name="_Toc5279"/>
      <w:bookmarkStart w:id="953" w:name="_Toc10062"/>
      <w:bookmarkStart w:id="954" w:name="_Toc8272"/>
      <w:r>
        <w:rPr>
          <w:rFonts w:hint="eastAsia"/>
          <w:bCs/>
          <w:color w:val="auto"/>
          <w:szCs w:val="32"/>
          <w:highlight w:val="none"/>
        </w:rPr>
        <w:t>第</w:t>
      </w:r>
      <w:r>
        <w:rPr>
          <w:rFonts w:hint="eastAsia"/>
          <w:bCs/>
          <w:color w:val="auto"/>
          <w:szCs w:val="32"/>
          <w:highlight w:val="none"/>
          <w:lang w:val="en-US" w:eastAsia="zh-CN"/>
        </w:rPr>
        <w:t>八</w:t>
      </w:r>
      <w:r>
        <w:rPr>
          <w:rFonts w:hint="eastAsia"/>
          <w:bCs/>
          <w:color w:val="auto"/>
          <w:szCs w:val="32"/>
          <w:highlight w:val="none"/>
        </w:rPr>
        <w:t>章  投标文件格式</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52"/>
      <w:bookmarkEnd w:id="953"/>
      <w:bookmarkEnd w:id="954"/>
    </w:p>
    <w:p w14:paraId="30E561DA">
      <w:pPr>
        <w:rPr>
          <w:color w:val="auto"/>
          <w:highlight w:val="none"/>
        </w:rPr>
      </w:pPr>
    </w:p>
    <w:p w14:paraId="3ADE262B">
      <w:pPr>
        <w:rPr>
          <w:color w:val="auto"/>
          <w:highlight w:val="none"/>
        </w:rPr>
      </w:pPr>
    </w:p>
    <w:p w14:paraId="2AA7DA25">
      <w:pPr>
        <w:rPr>
          <w:color w:val="auto"/>
          <w:highlight w:val="none"/>
        </w:rPr>
      </w:pPr>
    </w:p>
    <w:p w14:paraId="65BAC7DC">
      <w:pPr>
        <w:jc w:val="center"/>
        <w:rPr>
          <w:rFonts w:eastAsia="黑体"/>
          <w:color w:val="auto"/>
          <w:sz w:val="20"/>
          <w:szCs w:val="20"/>
          <w:highlight w:val="none"/>
        </w:rPr>
      </w:pPr>
      <w:r>
        <w:rPr>
          <w:rFonts w:eastAsia="黑体"/>
          <w:color w:val="auto"/>
          <w:sz w:val="28"/>
          <w:szCs w:val="28"/>
          <w:highlight w:val="none"/>
        </w:rPr>
        <w:t>（项目名称）</w:t>
      </w:r>
    </w:p>
    <w:p w14:paraId="41EA6429">
      <w:pPr>
        <w:jc w:val="center"/>
        <w:rPr>
          <w:rFonts w:eastAsia="黑体"/>
          <w:color w:val="auto"/>
          <w:sz w:val="20"/>
          <w:szCs w:val="20"/>
          <w:highlight w:val="none"/>
        </w:rPr>
      </w:pPr>
    </w:p>
    <w:p w14:paraId="184AA04A">
      <w:pPr>
        <w:jc w:val="center"/>
        <w:rPr>
          <w:rFonts w:eastAsia="黑体"/>
          <w:color w:val="auto"/>
          <w:sz w:val="20"/>
          <w:szCs w:val="20"/>
          <w:highlight w:val="none"/>
        </w:rPr>
      </w:pPr>
    </w:p>
    <w:p w14:paraId="313DF073">
      <w:pPr>
        <w:jc w:val="center"/>
        <w:rPr>
          <w:rFonts w:eastAsia="黑体"/>
          <w:color w:val="auto"/>
          <w:sz w:val="20"/>
          <w:szCs w:val="20"/>
          <w:highlight w:val="none"/>
        </w:rPr>
      </w:pPr>
    </w:p>
    <w:p w14:paraId="2070887A">
      <w:pPr>
        <w:rPr>
          <w:rFonts w:eastAsia="黑体"/>
          <w:color w:val="auto"/>
          <w:sz w:val="20"/>
          <w:szCs w:val="20"/>
          <w:highlight w:val="none"/>
        </w:rPr>
      </w:pPr>
    </w:p>
    <w:p w14:paraId="4F11BA88">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0C10C1D2">
      <w:pPr>
        <w:jc w:val="center"/>
        <w:rPr>
          <w:rFonts w:eastAsia="黑体"/>
          <w:color w:val="auto"/>
          <w:sz w:val="44"/>
          <w:szCs w:val="44"/>
          <w:highlight w:val="none"/>
        </w:rPr>
      </w:pPr>
      <w:r>
        <w:rPr>
          <w:rFonts w:hint="eastAsia" w:eastAsia="黑体"/>
          <w:color w:val="auto"/>
          <w:sz w:val="44"/>
          <w:szCs w:val="44"/>
          <w:highlight w:val="none"/>
        </w:rPr>
        <w:t>（资信证明文件）</w:t>
      </w:r>
    </w:p>
    <w:p w14:paraId="7BF1B98E">
      <w:pPr>
        <w:rPr>
          <w:rFonts w:eastAsia="黑体"/>
          <w:color w:val="auto"/>
          <w:sz w:val="28"/>
          <w:szCs w:val="28"/>
          <w:highlight w:val="none"/>
        </w:rPr>
      </w:pPr>
    </w:p>
    <w:p w14:paraId="68699899">
      <w:pPr>
        <w:rPr>
          <w:rFonts w:eastAsia="黑体"/>
          <w:color w:val="auto"/>
          <w:sz w:val="28"/>
          <w:szCs w:val="28"/>
          <w:highlight w:val="none"/>
        </w:rPr>
      </w:pPr>
    </w:p>
    <w:p w14:paraId="718FD052">
      <w:pPr>
        <w:rPr>
          <w:rFonts w:eastAsia="黑体"/>
          <w:color w:val="auto"/>
          <w:sz w:val="28"/>
          <w:szCs w:val="28"/>
          <w:highlight w:val="none"/>
        </w:rPr>
      </w:pPr>
    </w:p>
    <w:p w14:paraId="27E2CA0B">
      <w:pPr>
        <w:jc w:val="center"/>
        <w:rPr>
          <w:rFonts w:hint="default" w:eastAsia="黑体"/>
          <w:color w:val="auto"/>
          <w:sz w:val="28"/>
          <w:szCs w:val="28"/>
          <w:highlight w:val="none"/>
          <w:lang w:val="en-US" w:eastAsia="zh-CN"/>
        </w:rPr>
      </w:pPr>
      <w:r>
        <w:rPr>
          <w:rFonts w:hint="eastAsia" w:eastAsia="黑体"/>
          <w:color w:val="auto"/>
          <w:sz w:val="28"/>
          <w:szCs w:val="28"/>
          <w:highlight w:val="none"/>
        </w:rPr>
        <w:t>项目编号：</w:t>
      </w:r>
      <w:r>
        <w:rPr>
          <w:rFonts w:hint="eastAsia" w:eastAsia="黑体"/>
          <w:color w:val="auto"/>
          <w:sz w:val="28"/>
          <w:szCs w:val="28"/>
          <w:highlight w:val="none"/>
          <w:u w:val="single"/>
          <w:lang w:val="en-US" w:eastAsia="zh-CN"/>
        </w:rPr>
        <w:t xml:space="preserve">    </w:t>
      </w:r>
    </w:p>
    <w:p w14:paraId="328B984C">
      <w:pPr>
        <w:pStyle w:val="2"/>
        <w:ind w:firstLine="420"/>
        <w:rPr>
          <w:rFonts w:ascii="Times New Roman"/>
          <w:color w:val="auto"/>
          <w:szCs w:val="24"/>
          <w:highlight w:val="none"/>
        </w:rPr>
      </w:pPr>
    </w:p>
    <w:p w14:paraId="52140B17">
      <w:pPr>
        <w:rPr>
          <w:rFonts w:ascii="Times New Roman"/>
          <w:color w:val="auto"/>
          <w:szCs w:val="24"/>
          <w:highlight w:val="none"/>
        </w:rPr>
      </w:pPr>
    </w:p>
    <w:p w14:paraId="37D7086B">
      <w:pPr>
        <w:pStyle w:val="2"/>
        <w:rPr>
          <w:rFonts w:ascii="Times New Roman"/>
          <w:color w:val="auto"/>
          <w:szCs w:val="24"/>
          <w:highlight w:val="none"/>
        </w:rPr>
      </w:pPr>
    </w:p>
    <w:p w14:paraId="0FBBAF9B">
      <w:pPr>
        <w:rPr>
          <w:rFonts w:ascii="Times New Roman"/>
          <w:color w:val="auto"/>
          <w:szCs w:val="24"/>
          <w:highlight w:val="none"/>
        </w:rPr>
      </w:pPr>
    </w:p>
    <w:p w14:paraId="267B9988">
      <w:pPr>
        <w:pStyle w:val="2"/>
        <w:rPr>
          <w:color w:val="auto"/>
          <w:highlight w:val="none"/>
        </w:rPr>
      </w:pPr>
    </w:p>
    <w:p w14:paraId="04BFC8C9">
      <w:pPr>
        <w:pStyle w:val="2"/>
        <w:ind w:firstLine="420"/>
        <w:rPr>
          <w:color w:val="auto"/>
          <w:highlight w:val="none"/>
        </w:rPr>
      </w:pPr>
    </w:p>
    <w:p w14:paraId="48A1BC3A">
      <w:pPr>
        <w:rPr>
          <w:rFonts w:eastAsia="黑体"/>
          <w:color w:val="auto"/>
          <w:sz w:val="28"/>
          <w:szCs w:val="28"/>
          <w:highlight w:val="none"/>
        </w:rPr>
      </w:pPr>
    </w:p>
    <w:p w14:paraId="4964A82C">
      <w:pPr>
        <w:rPr>
          <w:rFonts w:eastAsia="黑体"/>
          <w:color w:val="auto"/>
          <w:sz w:val="28"/>
          <w:szCs w:val="28"/>
          <w:highlight w:val="none"/>
        </w:rPr>
      </w:pPr>
    </w:p>
    <w:p w14:paraId="44178503">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签章</w:t>
      </w:r>
      <w:r>
        <w:rPr>
          <w:rFonts w:eastAsia="黑体"/>
          <w:color w:val="auto"/>
          <w:sz w:val="28"/>
          <w:szCs w:val="28"/>
          <w:highlight w:val="none"/>
        </w:rPr>
        <w:t>）</w:t>
      </w:r>
    </w:p>
    <w:p w14:paraId="1562099F">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签章</w:t>
      </w:r>
      <w:r>
        <w:rPr>
          <w:rFonts w:eastAsia="黑体"/>
          <w:color w:val="auto"/>
          <w:sz w:val="28"/>
          <w:szCs w:val="28"/>
          <w:highlight w:val="none"/>
        </w:rPr>
        <w:t>）</w:t>
      </w:r>
    </w:p>
    <w:p w14:paraId="030E3540">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4D454CD6">
      <w:pPr>
        <w:rPr>
          <w:color w:val="auto"/>
          <w:highlight w:val="none"/>
        </w:rPr>
      </w:pPr>
      <w:bookmarkStart w:id="955" w:name="_Toc12683"/>
      <w:bookmarkStart w:id="956" w:name="_Toc35424971"/>
      <w:bookmarkStart w:id="957" w:name="_Toc35425137"/>
    </w:p>
    <w:p w14:paraId="2301A984">
      <w:pPr>
        <w:spacing w:beforeLines="50" w:afterLines="50" w:line="440" w:lineRule="exact"/>
        <w:ind w:firstLine="643" w:firstLineChars="200"/>
        <w:jc w:val="left"/>
        <w:rPr>
          <w:rFonts w:ascii="宋体" w:hAnsi="宋体" w:cs="宋体"/>
          <w:b/>
          <w:color w:val="auto"/>
          <w:sz w:val="28"/>
          <w:szCs w:val="28"/>
          <w:highlight w:val="none"/>
        </w:rPr>
      </w:pPr>
      <w:bookmarkStart w:id="958" w:name="_Toc78803399"/>
      <w:r>
        <w:rPr>
          <w:rStyle w:val="65"/>
          <w:rFonts w:hint="eastAsia" w:ascii="宋体" w:hAnsi="宋体" w:cs="宋体"/>
          <w:color w:val="auto"/>
          <w:sz w:val="32"/>
          <w:highlight w:val="none"/>
        </w:rPr>
        <w:br w:type="page"/>
      </w:r>
      <w:bookmarkStart w:id="959" w:name="_Toc30830"/>
      <w:bookmarkStart w:id="960" w:name="_Toc32179"/>
      <w:bookmarkStart w:id="961" w:name="_Toc25912"/>
      <w:r>
        <w:rPr>
          <w:rStyle w:val="65"/>
          <w:rFonts w:hint="eastAsia" w:ascii="宋体" w:hAnsi="宋体" w:cs="宋体"/>
          <w:color w:val="auto"/>
          <w:sz w:val="32"/>
          <w:highlight w:val="none"/>
        </w:rPr>
        <w:t>投标文件一</w:t>
      </w:r>
      <w:bookmarkEnd w:id="955"/>
      <w:bookmarkEnd w:id="956"/>
      <w:bookmarkEnd w:id="957"/>
      <w:bookmarkEnd w:id="958"/>
      <w:bookmarkEnd w:id="959"/>
      <w:bookmarkEnd w:id="960"/>
      <w:bookmarkEnd w:id="961"/>
      <w:r>
        <w:rPr>
          <w:rFonts w:hint="eastAsia" w:ascii="宋体" w:hAnsi="宋体" w:cs="宋体"/>
          <w:b/>
          <w:color w:val="auto"/>
          <w:sz w:val="28"/>
          <w:szCs w:val="28"/>
          <w:highlight w:val="none"/>
        </w:rPr>
        <w:t>：资信证明文件目录</w:t>
      </w:r>
    </w:p>
    <w:p w14:paraId="4308EA4D">
      <w:pPr>
        <w:spacing w:line="440" w:lineRule="exact"/>
        <w:ind w:right="-168" w:rightChars="-8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p w14:paraId="17302F7D">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（2）诚信投标承诺书；</w:t>
      </w:r>
    </w:p>
    <w:p w14:paraId="22A0C39E">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（3）企业法人营业执照；</w:t>
      </w:r>
    </w:p>
    <w:p w14:paraId="0348C95A">
      <w:pPr>
        <w:spacing w:line="440" w:lineRule="exact"/>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企业资质证书；</w:t>
      </w:r>
    </w:p>
    <w:p w14:paraId="5FDEDFC6">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企业安全生产许可证</w:t>
      </w:r>
      <w:r>
        <w:rPr>
          <w:rFonts w:hint="eastAsia" w:ascii="宋体" w:hAnsi="宋体" w:cs="宋体"/>
          <w:color w:val="auto"/>
          <w:szCs w:val="21"/>
          <w:highlight w:val="none"/>
          <w:lang w:eastAsia="zh-CN"/>
        </w:rPr>
        <w:t>；</w:t>
      </w:r>
    </w:p>
    <w:p w14:paraId="4EE5C1F8">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）项目经理（建造师）有效身份证、注册证书以及安全生产考核合格证书（B证）</w:t>
      </w:r>
      <w:r>
        <w:rPr>
          <w:rFonts w:hint="eastAsia" w:ascii="宋体" w:hAnsi="宋体" w:cs="宋体"/>
          <w:color w:val="auto"/>
          <w:szCs w:val="21"/>
          <w:highlight w:val="none"/>
        </w:rPr>
        <w:t>；</w:t>
      </w:r>
    </w:p>
    <w:p w14:paraId="74D791C5">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的法定代表人(或委托代理人)和拟任项目经理（建造师）须持有社保部门出具的本单位（或其不具备独立法人资格的分公司）为其缴纳的投标前近三个月连续的养老保险证明（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p>
    <w:p w14:paraId="4912DADF">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）项目管理机构；</w:t>
      </w:r>
    </w:p>
    <w:p w14:paraId="54F10C4D">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szCs w:val="21"/>
          <w:highlight w:val="none"/>
          <w:lang w:val="en-US" w:eastAsia="zh-CN"/>
        </w:rPr>
        <w:t>资信评分评审所需材料及</w:t>
      </w:r>
      <w:r>
        <w:rPr>
          <w:rFonts w:hint="eastAsia" w:ascii="宋体" w:hAnsi="宋体" w:cs="宋体"/>
          <w:color w:val="auto"/>
          <w:szCs w:val="21"/>
          <w:highlight w:val="none"/>
        </w:rPr>
        <w:t>投标人认为需要的其它证明材料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77364466">
      <w:pPr>
        <w:spacing w:line="360" w:lineRule="auto"/>
        <w:jc w:val="center"/>
        <w:rPr>
          <w:rFonts w:ascii="宋体"/>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（1）法定代表人身份证明或授权委托书</w:t>
      </w:r>
    </w:p>
    <w:p w14:paraId="29539D59">
      <w:pPr>
        <w:pStyle w:val="77"/>
        <w:keepNext w:val="0"/>
        <w:keepLines w:val="0"/>
        <w:pageBreakBefore w:val="0"/>
        <w:widowControl/>
        <w:kinsoku/>
        <w:wordWrap/>
        <w:overflowPunct/>
        <w:topLinePunct w:val="0"/>
        <w:autoSpaceDE/>
        <w:autoSpaceDN/>
        <w:bidi w:val="0"/>
        <w:adjustRightInd/>
        <w:snapToGrid/>
        <w:spacing w:before="157" w:beforeLines="50" w:after="157" w:afterLines="50" w:line="440" w:lineRule="exact"/>
        <w:textAlignment w:val="baseline"/>
        <w:rPr>
          <w:rFonts w:ascii="宋体"/>
          <w:b/>
          <w:color w:val="auto"/>
          <w:sz w:val="24"/>
          <w:szCs w:val="24"/>
          <w:highlight w:val="none"/>
        </w:rPr>
      </w:pPr>
      <w:bookmarkStart w:id="962" w:name="_Toc503196197"/>
      <w:bookmarkStart w:id="963" w:name="_Toc506107356"/>
      <w:bookmarkStart w:id="964" w:name="_Toc26598"/>
      <w:r>
        <w:rPr>
          <w:rFonts w:hint="eastAsia" w:ascii="宋体"/>
          <w:color w:val="auto"/>
          <w:sz w:val="24"/>
          <w:szCs w:val="24"/>
          <w:highlight w:val="none"/>
        </w:rPr>
        <w:t>1、法定代表人身份证明</w:t>
      </w:r>
    </w:p>
    <w:p w14:paraId="5B4CB34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p>
    <w:p w14:paraId="1F055C8B">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p>
    <w:p w14:paraId="23C52F3D">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p>
    <w:p w14:paraId="498E4EBE">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29022C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p>
    <w:p w14:paraId="071CAC8E">
      <w:pPr>
        <w:keepNext w:val="0"/>
        <w:keepLines w:val="0"/>
        <w:pageBreakBefore w:val="0"/>
        <w:kinsoku/>
        <w:wordWrap/>
        <w:overflowPunct/>
        <w:topLinePunct w:val="0"/>
        <w:autoSpaceDE/>
        <w:autoSpaceDN/>
        <w:bidi w:val="0"/>
        <w:adjustRightInd/>
        <w:snapToGrid/>
        <w:spacing w:line="440" w:lineRule="exact"/>
        <w:jc w:val="left"/>
        <w:rPr>
          <w:rFonts w:ascii="宋体"/>
          <w:color w:val="auto"/>
          <w:sz w:val="24"/>
          <w:highlight w:val="none"/>
          <w:u w:val="singl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身份证号码：</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（投标人名称）</w:t>
      </w:r>
      <w:r>
        <w:rPr>
          <w:rFonts w:hint="eastAsia" w:ascii="宋体"/>
          <w:color w:val="auto"/>
          <w:sz w:val="24"/>
          <w:highlight w:val="none"/>
        </w:rPr>
        <w:t>的法定代表人。</w:t>
      </w:r>
    </w:p>
    <w:p w14:paraId="1B2ACAC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特此证明。</w:t>
      </w:r>
    </w:p>
    <w:p w14:paraId="33827EAF">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签章</w:t>
      </w:r>
      <w:r>
        <w:rPr>
          <w:rFonts w:hint="eastAsia" w:ascii="宋体"/>
          <w:color w:val="auto"/>
          <w:sz w:val="24"/>
          <w:highlight w:val="none"/>
          <w:u w:val="single"/>
        </w:rPr>
        <w:t>）</w:t>
      </w:r>
    </w:p>
    <w:p w14:paraId="516F8066">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 xml:space="preserve">                                        年    月     日</w:t>
      </w:r>
    </w:p>
    <w:p w14:paraId="495C610B">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highlight w:val="none"/>
        </w:rPr>
      </w:pPr>
    </w:p>
    <w:p w14:paraId="6E3AE3E5">
      <w:pPr>
        <w:pStyle w:val="77"/>
        <w:keepNext w:val="0"/>
        <w:keepLines w:val="0"/>
        <w:pageBreakBefore w:val="0"/>
        <w:widowControl/>
        <w:kinsoku/>
        <w:wordWrap/>
        <w:overflowPunct/>
        <w:topLinePunct w:val="0"/>
        <w:autoSpaceDE/>
        <w:autoSpaceDN/>
        <w:bidi w:val="0"/>
        <w:adjustRightInd/>
        <w:snapToGrid/>
        <w:spacing w:before="157" w:beforeLines="50" w:after="157" w:afterLines="50" w:line="440" w:lineRule="exact"/>
        <w:textAlignment w:val="baseline"/>
        <w:rPr>
          <w:rFonts w:ascii="宋体"/>
          <w:color w:val="auto"/>
          <w:sz w:val="24"/>
          <w:szCs w:val="24"/>
          <w:highlight w:val="none"/>
        </w:rPr>
      </w:pPr>
      <w:r>
        <w:rPr>
          <w:rFonts w:hint="eastAsia" w:ascii="宋体"/>
          <w:color w:val="auto"/>
          <w:sz w:val="24"/>
          <w:szCs w:val="24"/>
          <w:highlight w:val="none"/>
        </w:rPr>
        <w:t>或1、授权委托书</w:t>
      </w:r>
    </w:p>
    <w:p w14:paraId="746C71D1">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color w:val="auto"/>
          <w:sz w:val="24"/>
          <w:highlight w:val="none"/>
        </w:rPr>
      </w:pPr>
      <w:r>
        <w:rPr>
          <w:rFonts w:hint="eastAsia" w:ascii="宋体"/>
          <w:color w:val="auto"/>
          <w:sz w:val="24"/>
          <w:highlight w:val="none"/>
        </w:rPr>
        <w:t>本人</w:t>
      </w:r>
      <w:r>
        <w:rPr>
          <w:rFonts w:hint="eastAsia" w:ascii="宋体"/>
          <w:color w:val="auto"/>
          <w:sz w:val="24"/>
          <w:highlight w:val="none"/>
          <w:u w:val="single"/>
        </w:rPr>
        <w:t xml:space="preserve"> （姓名）</w:t>
      </w:r>
      <w:r>
        <w:rPr>
          <w:rFonts w:hint="eastAsia" w:ascii="宋体"/>
          <w:color w:val="auto"/>
          <w:sz w:val="24"/>
          <w:highlight w:val="none"/>
        </w:rPr>
        <w:t>系</w:t>
      </w:r>
      <w:r>
        <w:rPr>
          <w:rFonts w:hint="eastAsia" w:ascii="宋体"/>
          <w:color w:val="auto"/>
          <w:sz w:val="24"/>
          <w:highlight w:val="none"/>
          <w:u w:val="single"/>
        </w:rPr>
        <w:t>（投标人）</w:t>
      </w:r>
      <w:r>
        <w:rPr>
          <w:rFonts w:hint="eastAsia" w:ascii="宋体"/>
          <w:color w:val="auto"/>
          <w:sz w:val="24"/>
          <w:highlight w:val="none"/>
        </w:rPr>
        <w:t>的法定代表人，现委托</w:t>
      </w:r>
      <w:r>
        <w:rPr>
          <w:rFonts w:hint="eastAsia" w:ascii="宋体"/>
          <w:color w:val="auto"/>
          <w:sz w:val="24"/>
          <w:highlight w:val="none"/>
          <w:u w:val="single"/>
        </w:rPr>
        <w:t>（姓名）</w:t>
      </w:r>
      <w:r>
        <w:rPr>
          <w:rFonts w:hint="eastAsia" w:ascii="宋体"/>
          <w:color w:val="auto"/>
          <w:sz w:val="24"/>
          <w:highlight w:val="none"/>
        </w:rPr>
        <w:t>为我方代理人。代理人根据授权，以我方名义签署、澄清、说明、补正、递交、撤回、修改</w:t>
      </w:r>
      <w:r>
        <w:rPr>
          <w:rFonts w:hint="eastAsia" w:ascii="宋体"/>
          <w:color w:val="auto"/>
          <w:sz w:val="24"/>
          <w:highlight w:val="none"/>
          <w:u w:val="single"/>
        </w:rPr>
        <w:t xml:space="preserve"> “   ”(项目名称</w:t>
      </w:r>
      <w:r>
        <w:rPr>
          <w:rFonts w:hint="eastAsia" w:ascii="宋体"/>
          <w:color w:val="auto"/>
          <w:sz w:val="24"/>
          <w:highlight w:val="none"/>
          <w:u w:val="single"/>
          <w:lang w:eastAsia="zh-CN"/>
        </w:rPr>
        <w:t>、</w:t>
      </w:r>
      <w:r>
        <w:rPr>
          <w:rFonts w:hint="eastAsia" w:ascii="宋体"/>
          <w:color w:val="auto"/>
          <w:sz w:val="24"/>
          <w:highlight w:val="none"/>
          <w:u w:val="single"/>
          <w:lang w:val="en-US" w:eastAsia="zh-CN"/>
        </w:rPr>
        <w:t>编号</w:t>
      </w:r>
      <w:r>
        <w:rPr>
          <w:rFonts w:hint="eastAsia" w:ascii="宋体"/>
          <w:color w:val="auto"/>
          <w:sz w:val="24"/>
          <w:highlight w:val="none"/>
          <w:u w:val="single"/>
        </w:rPr>
        <w:t>）</w:t>
      </w:r>
      <w:r>
        <w:rPr>
          <w:rFonts w:hint="eastAsia" w:ascii="宋体"/>
          <w:color w:val="auto"/>
          <w:sz w:val="24"/>
          <w:highlight w:val="none"/>
        </w:rPr>
        <w:t>投标文件，全权处理与该项目投标、评审答疑、签订合同以及与合同执行有关的一切事务，其法律后果由我方承担。</w:t>
      </w:r>
    </w:p>
    <w:p w14:paraId="3D024535">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 xml:space="preserve">              </w:t>
      </w:r>
      <w:r>
        <w:rPr>
          <w:rFonts w:hint="eastAsia" w:ascii="宋体" w:cs="宋体"/>
          <w:color w:val="auto"/>
          <w:sz w:val="24"/>
          <w:highlight w:val="none"/>
        </w:rPr>
        <w:t>。</w:t>
      </w:r>
    </w:p>
    <w:p w14:paraId="48F2B58D">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7B27CFD2">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color w:val="auto"/>
          <w:sz w:val="24"/>
          <w:highlight w:val="none"/>
        </w:rPr>
      </w:pPr>
      <w:r>
        <w:rPr>
          <w:rFonts w:hint="eastAsia" w:ascii="宋体"/>
          <w:color w:val="auto"/>
          <w:sz w:val="24"/>
          <w:highlight w:val="none"/>
        </w:rPr>
        <w:t>附：</w:t>
      </w:r>
      <w:r>
        <w:rPr>
          <w:rFonts w:hint="eastAsia" w:ascii="宋体"/>
          <w:b/>
          <w:color w:val="auto"/>
          <w:sz w:val="24"/>
          <w:highlight w:val="none"/>
        </w:rPr>
        <w:t>委托代理人有效身份证扫描件</w:t>
      </w:r>
    </w:p>
    <w:p w14:paraId="63E97D39">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color w:val="auto"/>
          <w:sz w:val="24"/>
          <w:highlight w:val="none"/>
        </w:rPr>
      </w:pPr>
      <w:r>
        <w:rPr>
          <w:rFonts w:hint="eastAsia" w:ascii="宋体"/>
          <w:b/>
          <w:color w:val="auto"/>
          <w:sz w:val="24"/>
          <w:highlight w:val="none"/>
        </w:rPr>
        <w:t>法定代表人有效身份证扫描件</w:t>
      </w:r>
    </w:p>
    <w:p w14:paraId="49F300FA">
      <w:pPr>
        <w:keepNext w:val="0"/>
        <w:keepLines w:val="0"/>
        <w:pageBreakBefore w:val="0"/>
        <w:kinsoku/>
        <w:wordWrap/>
        <w:overflowPunct/>
        <w:topLinePunct w:val="0"/>
        <w:autoSpaceDE/>
        <w:autoSpaceDN/>
        <w:bidi w:val="0"/>
        <w:adjustRightInd/>
        <w:snapToGrid/>
        <w:spacing w:line="440" w:lineRule="exact"/>
        <w:ind w:firstLine="833" w:firstLineChars="397"/>
        <w:rPr>
          <w:color w:val="auto"/>
          <w:highlight w:val="none"/>
        </w:rPr>
      </w:pPr>
    </w:p>
    <w:p w14:paraId="0A0F0529">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投标人（签章）：</w:t>
      </w:r>
    </w:p>
    <w:p w14:paraId="529F7847">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法定代表人（身份证号码）：    （签章）</w:t>
      </w:r>
    </w:p>
    <w:p w14:paraId="746C8EAD">
      <w:pPr>
        <w:keepNext w:val="0"/>
        <w:keepLines w:val="0"/>
        <w:pageBreakBefore w:val="0"/>
        <w:kinsoku/>
        <w:wordWrap/>
        <w:overflowPunct/>
        <w:topLinePunct w:val="0"/>
        <w:autoSpaceDE/>
        <w:autoSpaceDN/>
        <w:bidi w:val="0"/>
        <w:adjustRightInd/>
        <w:snapToGrid/>
        <w:spacing w:line="440" w:lineRule="exact"/>
        <w:ind w:firstLine="5640" w:firstLineChars="23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联系电话：</w:t>
      </w:r>
    </w:p>
    <w:p w14:paraId="2F3A48B6">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委托代理人（身份证号码）：    </w:t>
      </w:r>
    </w:p>
    <w:p w14:paraId="10F0CCF9">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color w:val="auto"/>
          <w:sz w:val="24"/>
          <w:highlight w:val="none"/>
        </w:rPr>
      </w:pPr>
      <w:r>
        <w:rPr>
          <w:rFonts w:hint="eastAsia" w:ascii="宋体"/>
          <w:color w:val="auto"/>
          <w:sz w:val="24"/>
          <w:highlight w:val="none"/>
        </w:rPr>
        <w:t xml:space="preserve">  </w:t>
      </w:r>
      <w:r>
        <w:rPr>
          <w:rFonts w:hint="eastAsia" w:ascii="宋体"/>
          <w:color w:val="auto"/>
          <w:sz w:val="24"/>
          <w:highlight w:val="none"/>
          <w:lang w:val="en-US" w:eastAsia="zh-CN"/>
        </w:rPr>
        <w:t xml:space="preserve">  </w:t>
      </w:r>
      <w:r>
        <w:rPr>
          <w:rFonts w:hint="eastAsia" w:ascii="宋体"/>
          <w:color w:val="auto"/>
          <w:sz w:val="24"/>
          <w:highlight w:val="none"/>
        </w:rPr>
        <w:t xml:space="preserve"> 联系电话：</w:t>
      </w:r>
    </w:p>
    <w:p w14:paraId="03404D0F">
      <w:pPr>
        <w:keepNext w:val="0"/>
        <w:keepLines w:val="0"/>
        <w:pageBreakBefore w:val="0"/>
        <w:kinsoku/>
        <w:wordWrap/>
        <w:overflowPunct/>
        <w:topLinePunct w:val="0"/>
        <w:autoSpaceDE/>
        <w:autoSpaceDN/>
        <w:bidi w:val="0"/>
        <w:adjustRightInd/>
        <w:snapToGrid/>
        <w:spacing w:line="440" w:lineRule="exact"/>
        <w:ind w:firstLine="5700" w:firstLineChars="2375"/>
        <w:rPr>
          <w:rFonts w:hint="eastAsia"/>
          <w:b/>
          <w:color w:val="auto"/>
          <w:sz w:val="28"/>
          <w:szCs w:val="28"/>
          <w:highlight w:val="none"/>
        </w:rPr>
      </w:pPr>
      <w:r>
        <w:rPr>
          <w:rFonts w:hint="eastAsia" w:ascii="宋体"/>
          <w:color w:val="auto"/>
          <w:sz w:val="24"/>
          <w:highlight w:val="none"/>
        </w:rPr>
        <w:t>年    月    日</w:t>
      </w:r>
    </w:p>
    <w:p w14:paraId="73A9B913">
      <w:pPr>
        <w:rPr>
          <w:rFonts w:hint="eastAsia"/>
          <w:b/>
          <w:color w:val="auto"/>
          <w:sz w:val="28"/>
          <w:szCs w:val="28"/>
          <w:highlight w:val="none"/>
        </w:rPr>
      </w:pPr>
      <w:r>
        <w:rPr>
          <w:rFonts w:hint="eastAsia"/>
          <w:b/>
          <w:color w:val="auto"/>
          <w:sz w:val="28"/>
          <w:szCs w:val="28"/>
          <w:highlight w:val="none"/>
        </w:rPr>
        <w:br w:type="page"/>
      </w:r>
    </w:p>
    <w:p w14:paraId="0B4168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b/>
          <w:color w:val="auto"/>
          <w:sz w:val="28"/>
          <w:szCs w:val="28"/>
          <w:highlight w:val="none"/>
        </w:rPr>
      </w:pPr>
      <w:r>
        <w:rPr>
          <w:rFonts w:hint="eastAsia"/>
          <w:b/>
          <w:color w:val="auto"/>
          <w:sz w:val="28"/>
          <w:szCs w:val="28"/>
          <w:highlight w:val="none"/>
        </w:rPr>
        <w:t>（2）诚信投标承诺书</w:t>
      </w:r>
      <w:bookmarkEnd w:id="962"/>
      <w:bookmarkEnd w:id="963"/>
      <w:bookmarkEnd w:id="964"/>
    </w:p>
    <w:p w14:paraId="0FB6971A">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5097DAE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项目的投标；</w:t>
      </w:r>
    </w:p>
    <w:p w14:paraId="6869B6C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二、所提供的一切材料都是真实、有效、合法的；</w:t>
      </w:r>
    </w:p>
    <w:p w14:paraId="684EEE7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62FE943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5DD65B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19AA2FF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lang w:val="en-US" w:eastAsia="zh-CN"/>
        </w:rPr>
        <w:t>我公司</w:t>
      </w:r>
      <w:r>
        <w:rPr>
          <w:rFonts w:hint="eastAsia" w:ascii="宋体" w:hAnsi="宋体"/>
          <w:color w:val="auto"/>
          <w:szCs w:val="21"/>
          <w:highlight w:val="none"/>
        </w:rPr>
        <w:t>没有下列情形：1、被人民法院列入失信被执行人的；2、我公司及其法定代表人、拟任项目经理（</w:t>
      </w:r>
      <w:r>
        <w:rPr>
          <w:rFonts w:hint="eastAsia" w:ascii="宋体" w:hAnsi="宋体"/>
          <w:color w:val="auto"/>
          <w:szCs w:val="21"/>
          <w:highlight w:val="none"/>
          <w:lang w:val="en-US" w:eastAsia="zh-CN"/>
        </w:rPr>
        <w:t>建造师</w:t>
      </w:r>
      <w:r>
        <w:rPr>
          <w:rFonts w:hint="eastAsia" w:ascii="宋体" w:hAnsi="宋体"/>
          <w:color w:val="auto"/>
          <w:szCs w:val="21"/>
          <w:highlight w:val="none"/>
        </w:rPr>
        <w:t>）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ascii="宋体" w:hAnsi="宋体"/>
          <w:color w:val="auto"/>
          <w:szCs w:val="21"/>
          <w:highlight w:val="none"/>
          <w:lang w:val="en-US" w:eastAsia="zh-CN"/>
        </w:rPr>
        <w:t>8</w:t>
      </w:r>
      <w:r>
        <w:rPr>
          <w:rFonts w:hint="eastAsia" w:ascii="宋体" w:hAnsi="宋体"/>
          <w:color w:val="auto"/>
          <w:szCs w:val="21"/>
          <w:highlight w:val="none"/>
        </w:rPr>
        <w:t>、</w:t>
      </w:r>
      <w:r>
        <w:rPr>
          <w:rFonts w:hint="eastAsia"/>
          <w:color w:val="auto"/>
          <w:szCs w:val="21"/>
          <w:highlight w:val="none"/>
        </w:rPr>
        <w:t>被列入省级、市级农民工工资支付异常名录的施工企业，限制其参加全市范围内房建和市政工程建设项目投标；列入县级异常名录的施工企业，限制其参加本行政区域内房建和市政建设项目投标。</w:t>
      </w:r>
    </w:p>
    <w:p w14:paraId="5FC565A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七、严格遵守开标现场纪律，服从监管人员管理；</w:t>
      </w:r>
    </w:p>
    <w:p w14:paraId="025E650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3D03160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九、保证中标之后，按照投标文件承诺派驻管理人员及投入机械设备，如有违反，同意接受建设单位违约处罚；</w:t>
      </w:r>
    </w:p>
    <w:p w14:paraId="4C3998B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64A91CE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我公司中标，保证中标的项目经理（建造师）无其他尚未完工（以竣工、交工、完工验收报告等手续为准）项目或在已中标项目（以发放中标通知书为准）中担任项目经理（建造师）情形。如有，项目在滁州市区域内的，接受中标无效、记入不良行为记录等处理；项目在滁州市区域外的，保证在中标候选人公示期第一日起开始计算7日内，提供经行政主管部门备案的变更证明材料，否则接受中标无效、记入不良行为记录等处理；</w:t>
      </w:r>
    </w:p>
    <w:p w14:paraId="6EC6BFE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二、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2CBE578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三</w:t>
      </w:r>
      <w:r>
        <w:rPr>
          <w:rFonts w:hint="eastAsia" w:ascii="宋体" w:hAnsi="宋体"/>
          <w:color w:val="auto"/>
          <w:szCs w:val="21"/>
          <w:highlight w:val="none"/>
        </w:rPr>
        <w:t>、如我公司中标，按照国务院《关于全面治理拖欠农民工工资问题的意见》（国办发[2016]1号）及国家住建部和人社部关于《建筑工人实名制管理办法》（建市[2019]18号）的规定，总承包单位对所承建的工程项目的建筑工人实名制管理负总责，对建筑工人实行实名制管理；实行人工费用与其他工程款分账管理制度；建筑工程承包单位必须开设农民工工资专户；建设单位在支付工程款时，应将人工费部分按规定汇入建筑工程承包单位的农民工工资专户，由建筑工程承包单位按劳动合同约定，通过农民工工资专户按月足额将工资发放给建筑工人；</w:t>
      </w:r>
    </w:p>
    <w:p w14:paraId="141B599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十四、我公司拟任项目经理（建造师）不是投标截止时间前六个月内在滁州市区域内办理过项目经理（建造师）变更备案手续的原项目经理（建造师）。</w:t>
      </w:r>
    </w:p>
    <w:p w14:paraId="33B4B94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以上内容我已仔细阅读，本公司若有违反承诺内容的行为，自愿接受取消投标或者中标资格、中标无效、记入不良行为记录等有关处理，愿意承担法律责任，给招标人造成损失的，依法承担赔偿责任。</w:t>
      </w:r>
    </w:p>
    <w:p w14:paraId="0510075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olor w:val="auto"/>
          <w:szCs w:val="21"/>
          <w:highlight w:val="none"/>
        </w:rPr>
      </w:pPr>
    </w:p>
    <w:p w14:paraId="36A89FC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                          基本账户：</w:t>
      </w:r>
    </w:p>
    <w:p w14:paraId="766F85C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 xml:space="preserve">投标人（签章）：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法定代表人（签章）：</w:t>
      </w:r>
    </w:p>
    <w:p w14:paraId="3B433894">
      <w:pPr>
        <w:keepNext w:val="0"/>
        <w:keepLines w:val="0"/>
        <w:pageBreakBefore w:val="0"/>
        <w:widowControl w:val="0"/>
        <w:kinsoku/>
        <w:wordWrap/>
        <w:overflowPunct/>
        <w:topLinePunct w:val="0"/>
        <w:autoSpaceDE/>
        <w:autoSpaceDN/>
        <w:bidi w:val="0"/>
        <w:adjustRightInd/>
        <w:snapToGrid/>
        <w:spacing w:line="560" w:lineRule="exact"/>
        <w:ind w:firstLine="5250" w:firstLineChars="2500"/>
        <w:textAlignment w:val="auto"/>
        <w:rPr>
          <w:rFonts w:hint="eastAsia" w:ascii="宋体" w:hAnsi="宋体"/>
          <w:color w:val="auto"/>
          <w:szCs w:val="21"/>
          <w:highlight w:val="none"/>
        </w:rPr>
      </w:pPr>
      <w:r>
        <w:rPr>
          <w:rFonts w:hint="eastAsia" w:ascii="宋体" w:hAnsi="宋体"/>
          <w:color w:val="auto"/>
          <w:szCs w:val="21"/>
          <w:highlight w:val="none"/>
        </w:rPr>
        <w:t>日期：    年   月   日</w:t>
      </w:r>
    </w:p>
    <w:p w14:paraId="7A29ED8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auto"/>
          <w:szCs w:val="21"/>
          <w:highlight w:val="none"/>
          <w:lang w:eastAsia="zh-CN"/>
        </w:rPr>
      </w:pPr>
    </w:p>
    <w:p w14:paraId="70C33C0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auto"/>
          <w:szCs w:val="21"/>
          <w:highlight w:val="none"/>
          <w:lang w:eastAsia="zh-CN"/>
        </w:rPr>
      </w:pPr>
    </w:p>
    <w:p w14:paraId="233282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auto"/>
          <w:szCs w:val="21"/>
          <w:highlight w:val="none"/>
          <w:lang w:eastAsia="zh-CN"/>
        </w:rPr>
      </w:pPr>
    </w:p>
    <w:p w14:paraId="0C0D8413">
      <w:pPr>
        <w:rPr>
          <w:rFonts w:hint="eastAsia" w:ascii="Times New Roman" w:hAnsi="Times New Roman" w:eastAsia="宋体" w:cs="Times New Roman"/>
          <w:b/>
          <w:color w:val="auto"/>
          <w:sz w:val="28"/>
          <w:szCs w:val="28"/>
          <w:highlight w:val="none"/>
          <w:lang w:eastAsia="zh-CN"/>
        </w:rPr>
      </w:pPr>
      <w:r>
        <w:rPr>
          <w:rFonts w:hint="eastAsia" w:ascii="Times New Roman" w:hAnsi="Times New Roman" w:eastAsia="宋体" w:cs="Times New Roman"/>
          <w:b/>
          <w:color w:val="auto"/>
          <w:sz w:val="28"/>
          <w:szCs w:val="28"/>
          <w:highlight w:val="none"/>
          <w:lang w:eastAsia="zh-CN"/>
        </w:rPr>
        <w:br w:type="page"/>
      </w:r>
    </w:p>
    <w:p w14:paraId="3B01EDA3">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Times New Roman" w:hAnsi="Times New Roman" w:eastAsia="宋体" w:cs="Times New Roman"/>
          <w:b/>
          <w:color w:val="auto"/>
          <w:sz w:val="28"/>
          <w:szCs w:val="28"/>
          <w:highlight w:val="none"/>
          <w:lang w:eastAsia="zh-CN"/>
        </w:rPr>
      </w:pPr>
      <w:r>
        <w:rPr>
          <w:rFonts w:hint="eastAsia" w:ascii="Times New Roman" w:hAnsi="Times New Roman" w:eastAsia="宋体" w:cs="Times New Roman"/>
          <w:b/>
          <w:color w:val="auto"/>
          <w:sz w:val="28"/>
          <w:szCs w:val="28"/>
          <w:highlight w:val="none"/>
          <w:lang w:eastAsia="zh-CN"/>
        </w:rPr>
        <w:t>（</w:t>
      </w:r>
      <w:r>
        <w:rPr>
          <w:rFonts w:hint="eastAsia" w:ascii="Times New Roman" w:hAnsi="Times New Roman" w:eastAsia="宋体" w:cs="Times New Roman"/>
          <w:b/>
          <w:color w:val="auto"/>
          <w:sz w:val="28"/>
          <w:szCs w:val="28"/>
          <w:highlight w:val="none"/>
          <w:lang w:val="en-US" w:eastAsia="zh-CN"/>
        </w:rPr>
        <w:t>3</w:t>
      </w:r>
      <w:r>
        <w:rPr>
          <w:rFonts w:hint="eastAsia" w:ascii="Times New Roman" w:hAnsi="Times New Roman" w:eastAsia="宋体" w:cs="Times New Roman"/>
          <w:b/>
          <w:color w:val="auto"/>
          <w:sz w:val="28"/>
          <w:szCs w:val="28"/>
          <w:highlight w:val="none"/>
          <w:lang w:eastAsia="zh-CN"/>
        </w:rPr>
        <w:t>）项目管理机构</w:t>
      </w:r>
    </w:p>
    <w:p w14:paraId="254C31D1">
      <w:pPr>
        <w:keepNext/>
        <w:keepLines/>
        <w:widowControl w:val="0"/>
        <w:suppressLineNumbers w:val="0"/>
        <w:spacing w:before="280" w:beforeLines="0" w:beforeAutospacing="0" w:after="290" w:afterLines="0" w:afterAutospacing="0" w:line="372" w:lineRule="auto"/>
        <w:ind w:left="0" w:right="0"/>
        <w:jc w:val="center"/>
        <w:outlineLvl w:val="3"/>
        <w:rPr>
          <w:rFonts w:hint="default" w:ascii="Arial" w:hAnsi="Arial" w:eastAsia="黑体" w:cs="Times New Roman"/>
          <w:b/>
          <w:bCs/>
          <w:color w:val="auto"/>
          <w:kern w:val="2"/>
          <w:sz w:val="28"/>
          <w:szCs w:val="28"/>
          <w:highlight w:val="none"/>
        </w:rPr>
      </w:pPr>
      <w:r>
        <w:rPr>
          <w:rFonts w:hint="eastAsia" w:ascii="黑体" w:hAnsi="宋体" w:eastAsia="黑体" w:cs="黑体"/>
          <w:b/>
          <w:bCs/>
          <w:color w:val="auto"/>
          <w:kern w:val="2"/>
          <w:sz w:val="28"/>
          <w:szCs w:val="28"/>
          <w:highlight w:val="none"/>
          <w:lang w:val="en-US" w:eastAsia="zh-CN" w:bidi="ar"/>
        </w:rPr>
        <w:t>附表</w:t>
      </w:r>
      <w:r>
        <w:rPr>
          <w:rFonts w:hint="default" w:ascii="Arial" w:hAnsi="Arial" w:eastAsia="黑体" w:cs="Arial"/>
          <w:b/>
          <w:bCs/>
          <w:color w:val="auto"/>
          <w:kern w:val="2"/>
          <w:sz w:val="28"/>
          <w:szCs w:val="28"/>
          <w:highlight w:val="none"/>
          <w:lang w:val="en-US" w:eastAsia="zh-CN" w:bidi="ar"/>
        </w:rPr>
        <w:t>1</w:t>
      </w:r>
      <w:r>
        <w:rPr>
          <w:rFonts w:hint="eastAsia" w:ascii="黑体" w:hAnsi="宋体" w:eastAsia="黑体" w:cs="黑体"/>
          <w:b/>
          <w:bCs/>
          <w:color w:val="auto"/>
          <w:kern w:val="2"/>
          <w:sz w:val="28"/>
          <w:szCs w:val="28"/>
          <w:highlight w:val="none"/>
          <w:lang w:val="en-US" w:eastAsia="zh-CN" w:bidi="ar"/>
        </w:rPr>
        <w:t>：项目管理机构主要人员组成表</w:t>
      </w:r>
    </w:p>
    <w:tbl>
      <w:tblPr>
        <w:tblStyle w:val="46"/>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0"/>
        <w:gridCol w:w="814"/>
        <w:gridCol w:w="812"/>
        <w:gridCol w:w="1220"/>
        <w:gridCol w:w="812"/>
        <w:gridCol w:w="814"/>
        <w:gridCol w:w="811"/>
        <w:gridCol w:w="2848"/>
        <w:gridCol w:w="759"/>
      </w:tblGrid>
      <w:tr w14:paraId="53D7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86" w:hRule="atLeast"/>
          <w:jc w:val="center"/>
        </w:trPr>
        <w:tc>
          <w:tcPr>
            <w:tcW w:w="7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58BB3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职务</w:t>
            </w:r>
          </w:p>
        </w:tc>
        <w:tc>
          <w:tcPr>
            <w:tcW w:w="8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CA849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姓名</w:t>
            </w:r>
          </w:p>
        </w:tc>
        <w:tc>
          <w:tcPr>
            <w:tcW w:w="8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43744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职称</w:t>
            </w:r>
          </w:p>
        </w:tc>
        <w:tc>
          <w:tcPr>
            <w:tcW w:w="650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5EB04AA">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执业或职业资格证明</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14:paraId="3E0D4B9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备注</w:t>
            </w:r>
          </w:p>
        </w:tc>
      </w:tr>
      <w:tr w14:paraId="7A13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7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5F90FD">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8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B0CF62">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3E049B">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14:paraId="5D90324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证书名称</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108CE752">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级别</w:t>
            </w:r>
          </w:p>
        </w:tc>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14:paraId="6A46EEA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证号</w:t>
            </w:r>
          </w:p>
        </w:tc>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14:paraId="6635F1C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专业</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9CFDCFC">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养老保险</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14:paraId="3205F998">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539B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14:paraId="7B6E96E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项目经理（建造师）</w:t>
            </w:r>
          </w:p>
        </w:tc>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14:paraId="6211F50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13D31036">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14:paraId="1D4FDD5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287CAAB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14:paraId="3D09A452">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center"/>
          </w:tcPr>
          <w:p w14:paraId="6BFF61A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FE4237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14:paraId="13AA7E4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0055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76ABA21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技术负责人</w:t>
            </w: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119A2A1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16509961">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top"/>
          </w:tcPr>
          <w:p w14:paraId="3FECC85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3C2E211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7C68E91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top"/>
          </w:tcPr>
          <w:p w14:paraId="34B7E56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single" w:color="auto" w:sz="4" w:space="0"/>
              <w:bottom w:val="single" w:color="auto" w:sz="4" w:space="0"/>
              <w:right w:val="single" w:color="auto" w:sz="4" w:space="0"/>
            </w:tcBorders>
            <w:shd w:val="clear" w:color="auto" w:fill="auto"/>
            <w:vAlign w:val="top"/>
          </w:tcPr>
          <w:p w14:paraId="7C56937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top"/>
          </w:tcPr>
          <w:p w14:paraId="2F88B18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19C1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1B81F5B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301D039F">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776B3C0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top"/>
          </w:tcPr>
          <w:p w14:paraId="66F5BF42">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347B2968">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7492D35A">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top"/>
          </w:tcPr>
          <w:p w14:paraId="3F77BAC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single" w:color="auto" w:sz="4" w:space="0"/>
              <w:bottom w:val="single" w:color="auto" w:sz="4" w:space="0"/>
              <w:right w:val="single" w:color="auto" w:sz="4" w:space="0"/>
            </w:tcBorders>
            <w:shd w:val="clear" w:color="auto" w:fill="auto"/>
            <w:vAlign w:val="top"/>
          </w:tcPr>
          <w:p w14:paraId="2DE80D4C">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top"/>
          </w:tcPr>
          <w:p w14:paraId="5C5FDF5F">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4052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6B3172D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3929468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0B7271D0">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top"/>
          </w:tcPr>
          <w:p w14:paraId="311933D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0EDAE8B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single" w:color="auto" w:sz="4" w:space="0"/>
              <w:bottom w:val="single" w:color="auto" w:sz="4" w:space="0"/>
              <w:right w:val="single" w:color="auto" w:sz="4" w:space="0"/>
            </w:tcBorders>
            <w:shd w:val="clear" w:color="auto" w:fill="auto"/>
            <w:vAlign w:val="top"/>
          </w:tcPr>
          <w:p w14:paraId="57E4370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single" w:color="auto" w:sz="4" w:space="0"/>
              <w:bottom w:val="single" w:color="auto" w:sz="4" w:space="0"/>
              <w:right w:val="single" w:color="auto" w:sz="4" w:space="0"/>
            </w:tcBorders>
            <w:shd w:val="clear" w:color="auto" w:fill="auto"/>
            <w:vAlign w:val="top"/>
          </w:tcPr>
          <w:p w14:paraId="20C747A5">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single" w:color="auto" w:sz="4" w:space="0"/>
              <w:bottom w:val="single" w:color="auto" w:sz="4" w:space="0"/>
              <w:right w:val="single" w:color="auto" w:sz="4" w:space="0"/>
            </w:tcBorders>
            <w:shd w:val="clear" w:color="auto" w:fill="auto"/>
            <w:vAlign w:val="top"/>
          </w:tcPr>
          <w:p w14:paraId="0A64910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single" w:color="auto" w:sz="4" w:space="0"/>
              <w:bottom w:val="single" w:color="auto" w:sz="4" w:space="0"/>
              <w:right w:val="single" w:color="auto" w:sz="4" w:space="0"/>
            </w:tcBorders>
            <w:shd w:val="clear" w:color="auto" w:fill="auto"/>
            <w:vAlign w:val="top"/>
          </w:tcPr>
          <w:p w14:paraId="7EE174C1">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7475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174CFD37">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nil"/>
              <w:bottom w:val="single" w:color="auto" w:sz="4" w:space="0"/>
              <w:right w:val="single" w:color="auto" w:sz="4" w:space="0"/>
            </w:tcBorders>
            <w:shd w:val="clear" w:color="auto" w:fill="auto"/>
            <w:vAlign w:val="top"/>
          </w:tcPr>
          <w:p w14:paraId="4A88812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nil"/>
              <w:bottom w:val="single" w:color="auto" w:sz="4" w:space="0"/>
              <w:right w:val="single" w:color="auto" w:sz="4" w:space="0"/>
            </w:tcBorders>
            <w:shd w:val="clear" w:color="auto" w:fill="auto"/>
            <w:vAlign w:val="top"/>
          </w:tcPr>
          <w:p w14:paraId="7F049020">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nil"/>
              <w:bottom w:val="single" w:color="auto" w:sz="4" w:space="0"/>
              <w:right w:val="single" w:color="auto" w:sz="4" w:space="0"/>
            </w:tcBorders>
            <w:shd w:val="clear" w:color="auto" w:fill="auto"/>
            <w:vAlign w:val="top"/>
          </w:tcPr>
          <w:p w14:paraId="65BB8EF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nil"/>
              <w:bottom w:val="single" w:color="auto" w:sz="4" w:space="0"/>
              <w:right w:val="single" w:color="auto" w:sz="4" w:space="0"/>
            </w:tcBorders>
            <w:shd w:val="clear" w:color="auto" w:fill="auto"/>
            <w:vAlign w:val="top"/>
          </w:tcPr>
          <w:p w14:paraId="26C1394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nil"/>
              <w:bottom w:val="single" w:color="auto" w:sz="4" w:space="0"/>
              <w:right w:val="single" w:color="auto" w:sz="4" w:space="0"/>
            </w:tcBorders>
            <w:shd w:val="clear" w:color="auto" w:fill="auto"/>
            <w:vAlign w:val="top"/>
          </w:tcPr>
          <w:p w14:paraId="2D1B890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nil"/>
              <w:bottom w:val="single" w:color="auto" w:sz="4" w:space="0"/>
              <w:right w:val="single" w:color="auto" w:sz="4" w:space="0"/>
            </w:tcBorders>
            <w:shd w:val="clear" w:color="auto" w:fill="auto"/>
            <w:vAlign w:val="top"/>
          </w:tcPr>
          <w:p w14:paraId="22EC113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nil"/>
              <w:bottom w:val="single" w:color="auto" w:sz="4" w:space="0"/>
              <w:right w:val="single" w:color="auto" w:sz="4" w:space="0"/>
            </w:tcBorders>
            <w:shd w:val="clear" w:color="auto" w:fill="auto"/>
            <w:vAlign w:val="top"/>
          </w:tcPr>
          <w:p w14:paraId="17F83BA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nil"/>
              <w:bottom w:val="single" w:color="auto" w:sz="4" w:space="0"/>
              <w:right w:val="single" w:color="auto" w:sz="4" w:space="0"/>
            </w:tcBorders>
            <w:shd w:val="clear" w:color="auto" w:fill="auto"/>
            <w:vAlign w:val="top"/>
          </w:tcPr>
          <w:p w14:paraId="268E66FD">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r w14:paraId="7A66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jc w:val="center"/>
        </w:trPr>
        <w:tc>
          <w:tcPr>
            <w:tcW w:w="730" w:type="dxa"/>
            <w:tcBorders>
              <w:top w:val="single" w:color="auto" w:sz="4" w:space="0"/>
              <w:left w:val="single" w:color="auto" w:sz="4" w:space="0"/>
              <w:bottom w:val="single" w:color="auto" w:sz="4" w:space="0"/>
              <w:right w:val="single" w:color="auto" w:sz="4" w:space="0"/>
            </w:tcBorders>
            <w:shd w:val="clear" w:color="auto" w:fill="auto"/>
            <w:vAlign w:val="top"/>
          </w:tcPr>
          <w:p w14:paraId="58912FF3">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nil"/>
              <w:bottom w:val="single" w:color="auto" w:sz="4" w:space="0"/>
              <w:right w:val="single" w:color="auto" w:sz="4" w:space="0"/>
            </w:tcBorders>
            <w:shd w:val="clear" w:color="auto" w:fill="auto"/>
            <w:vAlign w:val="top"/>
          </w:tcPr>
          <w:p w14:paraId="7957CF4B">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nil"/>
              <w:bottom w:val="single" w:color="auto" w:sz="4" w:space="0"/>
              <w:right w:val="single" w:color="auto" w:sz="4" w:space="0"/>
            </w:tcBorders>
            <w:shd w:val="clear" w:color="auto" w:fill="auto"/>
            <w:vAlign w:val="top"/>
          </w:tcPr>
          <w:p w14:paraId="7B13356C">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1220" w:type="dxa"/>
            <w:tcBorders>
              <w:top w:val="single" w:color="auto" w:sz="4" w:space="0"/>
              <w:left w:val="nil"/>
              <w:bottom w:val="single" w:color="auto" w:sz="4" w:space="0"/>
              <w:right w:val="single" w:color="auto" w:sz="4" w:space="0"/>
            </w:tcBorders>
            <w:shd w:val="clear" w:color="auto" w:fill="auto"/>
            <w:vAlign w:val="top"/>
          </w:tcPr>
          <w:p w14:paraId="547AD3FE">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2" w:type="dxa"/>
            <w:tcBorders>
              <w:top w:val="single" w:color="auto" w:sz="4" w:space="0"/>
              <w:left w:val="nil"/>
              <w:bottom w:val="single" w:color="auto" w:sz="4" w:space="0"/>
              <w:right w:val="single" w:color="auto" w:sz="4" w:space="0"/>
            </w:tcBorders>
            <w:shd w:val="clear" w:color="auto" w:fill="auto"/>
            <w:vAlign w:val="top"/>
          </w:tcPr>
          <w:p w14:paraId="1FA0834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4" w:type="dxa"/>
            <w:tcBorders>
              <w:top w:val="single" w:color="auto" w:sz="4" w:space="0"/>
              <w:left w:val="nil"/>
              <w:bottom w:val="single" w:color="auto" w:sz="4" w:space="0"/>
              <w:right w:val="single" w:color="auto" w:sz="4" w:space="0"/>
            </w:tcBorders>
            <w:shd w:val="clear" w:color="auto" w:fill="auto"/>
            <w:vAlign w:val="top"/>
          </w:tcPr>
          <w:p w14:paraId="05087569">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811" w:type="dxa"/>
            <w:tcBorders>
              <w:top w:val="single" w:color="auto" w:sz="4" w:space="0"/>
              <w:left w:val="nil"/>
              <w:bottom w:val="single" w:color="auto" w:sz="4" w:space="0"/>
              <w:right w:val="single" w:color="auto" w:sz="4" w:space="0"/>
            </w:tcBorders>
            <w:shd w:val="clear" w:color="auto" w:fill="auto"/>
            <w:vAlign w:val="top"/>
          </w:tcPr>
          <w:p w14:paraId="479B8D60">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2848" w:type="dxa"/>
            <w:tcBorders>
              <w:top w:val="single" w:color="auto" w:sz="4" w:space="0"/>
              <w:left w:val="nil"/>
              <w:bottom w:val="single" w:color="auto" w:sz="4" w:space="0"/>
              <w:right w:val="single" w:color="auto" w:sz="4" w:space="0"/>
            </w:tcBorders>
            <w:shd w:val="clear" w:color="auto" w:fill="auto"/>
            <w:vAlign w:val="top"/>
          </w:tcPr>
          <w:p w14:paraId="46EB2265">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c>
          <w:tcPr>
            <w:tcW w:w="759" w:type="dxa"/>
            <w:tcBorders>
              <w:top w:val="single" w:color="auto" w:sz="4" w:space="0"/>
              <w:left w:val="nil"/>
              <w:bottom w:val="single" w:color="auto" w:sz="4" w:space="0"/>
              <w:right w:val="single" w:color="auto" w:sz="4" w:space="0"/>
            </w:tcBorders>
            <w:shd w:val="clear" w:color="auto" w:fill="auto"/>
            <w:vAlign w:val="top"/>
          </w:tcPr>
          <w:p w14:paraId="537CEA24">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宋体" w:cs="Times New Roman"/>
                <w:color w:val="auto"/>
                <w:kern w:val="2"/>
                <w:sz w:val="21"/>
                <w:szCs w:val="21"/>
                <w:highlight w:val="none"/>
              </w:rPr>
            </w:pPr>
          </w:p>
        </w:tc>
      </w:tr>
    </w:tbl>
    <w:p w14:paraId="30965F5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Times New Roman" w:hAnsi="Times New Roman" w:eastAsia="宋体" w:cs="Times New Roman"/>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备注：</w:t>
      </w:r>
      <w:r>
        <w:rPr>
          <w:rFonts w:hint="eastAsia" w:ascii="宋体" w:hAnsi="宋体" w:eastAsia="宋体" w:cs="宋体"/>
          <w:color w:val="auto"/>
          <w:kern w:val="2"/>
          <w:sz w:val="21"/>
          <w:szCs w:val="21"/>
          <w:highlight w:val="none"/>
          <w:lang w:val="en-US" w:eastAsia="zh-CN" w:bidi="ar"/>
        </w:rPr>
        <w:t>根据安徽省住房和城乡建设厅《关于调整招标投标活动中有关住房城乡建设领域现场专业人员证书要求的通知》（建市函〔</w:t>
      </w:r>
      <w:r>
        <w:rPr>
          <w:rFonts w:hint="default" w:ascii="Times New Roman" w:hAnsi="Times New Roman" w:eastAsia="宋体" w:cs="Times New Roman"/>
          <w:color w:val="auto"/>
          <w:kern w:val="2"/>
          <w:sz w:val="21"/>
          <w:szCs w:val="21"/>
          <w:highlight w:val="none"/>
          <w:lang w:val="en-US" w:eastAsia="zh-CN" w:bidi="ar"/>
        </w:rPr>
        <w:t>2019</w:t>
      </w:r>
      <w:r>
        <w:rPr>
          <w:rFonts w:hint="eastAsia" w:ascii="宋体"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 xml:space="preserve">1112 </w:t>
      </w:r>
      <w:r>
        <w:rPr>
          <w:rFonts w:hint="eastAsia" w:ascii="宋体" w:hAnsi="宋体" w:eastAsia="宋体" w:cs="宋体"/>
          <w:color w:val="auto"/>
          <w:kern w:val="2"/>
          <w:sz w:val="21"/>
          <w:szCs w:val="21"/>
          <w:highlight w:val="none"/>
          <w:lang w:val="en-US" w:eastAsia="zh-CN" w:bidi="ar"/>
        </w:rPr>
        <w:t>号）要求，不再将住房城乡建设领域现场专业技术人员（包括施工员、质量员、安全员、资料员、材料员、劳务员、机械员、标准员）及取样员持证情况列入招标投标文件，招标人或招标代理机构需按照住房和城乡建设部及安徽省相关标准规定 明确投标人需要配备其他主要管理人员和技术人员数量的最低要求。中标人和招标人在签订合同时应按照不低于上述人员配置的要求填写承包人主要施工管理人员表，并作为合同的附件之一。</w:t>
      </w:r>
    </w:p>
    <w:p w14:paraId="2AA2D769">
      <w:pPr>
        <w:keepNext w:val="0"/>
        <w:keepLines w:val="0"/>
        <w:widowControl w:val="0"/>
        <w:suppressLineNumbers w:val="0"/>
        <w:spacing w:before="0" w:beforeAutospacing="0" w:after="0" w:afterAutospacing="0" w:line="560" w:lineRule="exact"/>
        <w:ind w:left="0" w:right="0"/>
        <w:jc w:val="both"/>
        <w:rPr>
          <w:rFonts w:hint="eastAsia" w:ascii="Times New Roman" w:hAnsi="Times New Roman" w:eastAsia="宋体" w:cs="Times New Roman"/>
          <w:color w:val="auto"/>
          <w:kern w:val="2"/>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 xml:space="preserve"> </w:t>
      </w:r>
    </w:p>
    <w:p w14:paraId="6CCF32F9">
      <w:pPr>
        <w:keepNext/>
        <w:keepLines/>
        <w:widowControl w:val="0"/>
        <w:suppressLineNumbers w:val="0"/>
        <w:spacing w:before="280" w:beforeLines="0" w:beforeAutospacing="0" w:after="290" w:afterLines="0" w:afterAutospacing="0" w:line="372" w:lineRule="auto"/>
        <w:ind w:left="0" w:right="0"/>
        <w:jc w:val="center"/>
        <w:outlineLvl w:val="3"/>
        <w:rPr>
          <w:rFonts w:hint="default" w:ascii="Arial" w:hAnsi="Arial" w:eastAsia="黑体" w:cs="Times New Roman"/>
          <w:b/>
          <w:bCs/>
          <w:color w:val="auto"/>
          <w:kern w:val="2"/>
          <w:sz w:val="23"/>
          <w:szCs w:val="23"/>
          <w:highlight w:val="none"/>
        </w:rPr>
      </w:pPr>
      <w:r>
        <w:rPr>
          <w:rFonts w:hint="eastAsia" w:ascii="黑体" w:hAnsi="宋体" w:eastAsia="黑体" w:cs="黑体"/>
          <w:b/>
          <w:bCs/>
          <w:color w:val="auto"/>
          <w:kern w:val="2"/>
          <w:sz w:val="28"/>
          <w:szCs w:val="28"/>
          <w:highlight w:val="none"/>
          <w:lang w:val="en-US" w:eastAsia="zh-CN" w:bidi="ar"/>
        </w:rPr>
        <w:t>附表</w:t>
      </w:r>
      <w:r>
        <w:rPr>
          <w:rFonts w:hint="default" w:ascii="Arial" w:hAnsi="Arial" w:eastAsia="黑体" w:cs="Arial"/>
          <w:b/>
          <w:bCs/>
          <w:color w:val="auto"/>
          <w:kern w:val="2"/>
          <w:sz w:val="28"/>
          <w:szCs w:val="28"/>
          <w:highlight w:val="none"/>
          <w:lang w:val="en-US" w:eastAsia="zh-CN" w:bidi="ar"/>
        </w:rPr>
        <w:t>2</w:t>
      </w:r>
      <w:r>
        <w:rPr>
          <w:rFonts w:hint="eastAsia" w:ascii="黑体" w:hAnsi="宋体" w:eastAsia="黑体" w:cs="黑体"/>
          <w:b/>
          <w:bCs/>
          <w:color w:val="auto"/>
          <w:kern w:val="2"/>
          <w:sz w:val="28"/>
          <w:szCs w:val="28"/>
          <w:highlight w:val="none"/>
          <w:lang w:val="en-US" w:eastAsia="zh-CN" w:bidi="ar"/>
        </w:rPr>
        <w:t>：拟任项目经理（建造师）简历表</w:t>
      </w:r>
    </w:p>
    <w:tbl>
      <w:tblPr>
        <w:tblStyle w:val="4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03"/>
        <w:gridCol w:w="394"/>
        <w:gridCol w:w="791"/>
        <w:gridCol w:w="1018"/>
        <w:gridCol w:w="1170"/>
        <w:gridCol w:w="777"/>
        <w:gridCol w:w="1385"/>
        <w:gridCol w:w="177"/>
        <w:gridCol w:w="2345"/>
      </w:tblGrid>
      <w:tr w14:paraId="155B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03" w:type="dxa"/>
            <w:tcBorders>
              <w:top w:val="single" w:color="auto" w:sz="4" w:space="0"/>
              <w:left w:val="single" w:color="auto" w:sz="4" w:space="0"/>
              <w:bottom w:val="single" w:color="auto" w:sz="4" w:space="0"/>
              <w:right w:val="single" w:color="auto" w:sz="4" w:space="0"/>
            </w:tcBorders>
            <w:shd w:val="clear" w:color="auto" w:fill="auto"/>
            <w:vAlign w:val="center"/>
          </w:tcPr>
          <w:p w14:paraId="36DF0B67">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名</w:t>
            </w:r>
          </w:p>
        </w:tc>
        <w:tc>
          <w:tcPr>
            <w:tcW w:w="11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10CAB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1E095E3F">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20CE12B">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2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80F9C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学历</w:t>
            </w:r>
          </w:p>
        </w:tc>
        <w:tc>
          <w:tcPr>
            <w:tcW w:w="2345" w:type="dxa"/>
            <w:tcBorders>
              <w:top w:val="single" w:color="auto" w:sz="4" w:space="0"/>
              <w:left w:val="single" w:color="auto" w:sz="4" w:space="0"/>
              <w:bottom w:val="single" w:color="auto" w:sz="4" w:space="0"/>
              <w:right w:val="single" w:color="auto" w:sz="4" w:space="0"/>
            </w:tcBorders>
            <w:shd w:val="clear" w:color="auto" w:fill="auto"/>
            <w:vAlign w:val="center"/>
          </w:tcPr>
          <w:p w14:paraId="624B770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p>
        </w:tc>
      </w:tr>
      <w:tr w14:paraId="12E2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03" w:type="dxa"/>
            <w:tcBorders>
              <w:top w:val="single" w:color="auto" w:sz="4" w:space="0"/>
              <w:left w:val="single" w:color="auto" w:sz="4" w:space="0"/>
              <w:bottom w:val="single" w:color="auto" w:sz="4" w:space="0"/>
              <w:right w:val="single" w:color="auto" w:sz="4" w:space="0"/>
            </w:tcBorders>
            <w:shd w:val="clear" w:color="auto" w:fill="auto"/>
            <w:vAlign w:val="center"/>
          </w:tcPr>
          <w:p w14:paraId="3F18C64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称</w:t>
            </w:r>
          </w:p>
        </w:tc>
        <w:tc>
          <w:tcPr>
            <w:tcW w:w="11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ADD0DC">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0D958032">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务</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9401D29">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23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B09419">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拟在本合同任职</w:t>
            </w:r>
          </w:p>
        </w:tc>
        <w:tc>
          <w:tcPr>
            <w:tcW w:w="2345" w:type="dxa"/>
            <w:tcBorders>
              <w:top w:val="single" w:color="auto" w:sz="4" w:space="0"/>
              <w:left w:val="single" w:color="auto" w:sz="4" w:space="0"/>
              <w:bottom w:val="single" w:color="auto" w:sz="4" w:space="0"/>
              <w:right w:val="single" w:color="auto" w:sz="4" w:space="0"/>
            </w:tcBorders>
            <w:shd w:val="clear" w:color="auto" w:fill="auto"/>
            <w:vAlign w:val="center"/>
          </w:tcPr>
          <w:p w14:paraId="0AB341E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p>
        </w:tc>
      </w:tr>
      <w:tr w14:paraId="7759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303" w:type="dxa"/>
            <w:tcBorders>
              <w:top w:val="single" w:color="auto" w:sz="4" w:space="0"/>
              <w:left w:val="single" w:color="auto" w:sz="4" w:space="0"/>
              <w:bottom w:val="single" w:color="auto" w:sz="4" w:space="0"/>
              <w:right w:val="single" w:color="auto" w:sz="4" w:space="0"/>
            </w:tcBorders>
            <w:shd w:val="clear" w:color="auto" w:fill="auto"/>
            <w:vAlign w:val="center"/>
          </w:tcPr>
          <w:p w14:paraId="1D34E277">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毕业学校</w:t>
            </w:r>
          </w:p>
        </w:tc>
        <w:tc>
          <w:tcPr>
            <w:tcW w:w="8057" w:type="dxa"/>
            <w:gridSpan w:val="8"/>
            <w:tcBorders>
              <w:top w:val="single" w:color="auto" w:sz="4" w:space="0"/>
              <w:left w:val="single" w:color="auto" w:sz="4" w:space="0"/>
              <w:bottom w:val="single" w:color="auto" w:sz="4" w:space="0"/>
              <w:right w:val="single" w:color="auto" w:sz="4" w:space="0"/>
            </w:tcBorders>
            <w:shd w:val="clear" w:color="auto" w:fill="auto"/>
            <w:vAlign w:val="top"/>
          </w:tcPr>
          <w:p w14:paraId="0F31940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年毕业于</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学校</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专业</w:t>
            </w:r>
          </w:p>
        </w:tc>
      </w:tr>
      <w:tr w14:paraId="1B10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36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437DF722">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主要工作经历</w:t>
            </w:r>
          </w:p>
        </w:tc>
      </w:tr>
      <w:tr w14:paraId="037E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A0FF21">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时</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间</w:t>
            </w: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AE09915">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参加过的类似项目</w:t>
            </w:r>
          </w:p>
        </w:tc>
        <w:tc>
          <w:tcPr>
            <w:tcW w:w="1385" w:type="dxa"/>
            <w:tcBorders>
              <w:top w:val="single" w:color="auto" w:sz="4" w:space="0"/>
              <w:left w:val="single" w:color="auto" w:sz="4" w:space="0"/>
              <w:bottom w:val="single" w:color="auto" w:sz="4" w:space="0"/>
              <w:right w:val="single" w:color="auto" w:sz="4" w:space="0"/>
            </w:tcBorders>
            <w:shd w:val="clear" w:color="auto" w:fill="auto"/>
            <w:vAlign w:val="center"/>
          </w:tcPr>
          <w:p w14:paraId="7D8A111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担任职务</w:t>
            </w: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53091A">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发包人及联系电话</w:t>
            </w:r>
          </w:p>
        </w:tc>
      </w:tr>
      <w:tr w14:paraId="6E07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334D7A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1ECA6AA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7949EC3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2A9B9B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DD6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9C8E7C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0B358CA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3F9295C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B01D10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730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DE64B5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03533E2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0E46FBD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3F7205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9AD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BE6139D">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261CCB0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3A45634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F35848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E94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2EC4AD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57782BE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4FC416BF">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1E02995">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EFF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E170A6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5C5D321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4C44433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6691D9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3396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AE8B91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20804053">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6EEEE17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704C423">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EAE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4AE519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65CF836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46C3C45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695955B">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7FFF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697"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C4AFA5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5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B96571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shd w:val="clear" w:color="auto" w:fill="auto"/>
            <w:vAlign w:val="top"/>
          </w:tcPr>
          <w:p w14:paraId="1ED9F8C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2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FE5C46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bl>
    <w:p w14:paraId="42AA4397">
      <w:pPr>
        <w:keepNext/>
        <w:keepLines/>
        <w:widowControl w:val="0"/>
        <w:suppressLineNumbers w:val="0"/>
        <w:spacing w:before="280" w:beforeLines="0" w:beforeAutospacing="0" w:after="290" w:afterLines="0" w:afterAutospacing="0" w:line="372" w:lineRule="auto"/>
        <w:ind w:left="0" w:right="0"/>
        <w:jc w:val="center"/>
        <w:outlineLvl w:val="3"/>
        <w:rPr>
          <w:rFonts w:hint="eastAsia" w:ascii="Arial" w:hAnsi="Arial" w:eastAsia="黑体" w:cs="Times New Roman"/>
          <w:b/>
          <w:bCs/>
          <w:color w:val="auto"/>
          <w:kern w:val="2"/>
          <w:sz w:val="28"/>
          <w:szCs w:val="28"/>
          <w:highlight w:val="none"/>
        </w:rPr>
      </w:pPr>
      <w:r>
        <w:rPr>
          <w:rFonts w:hint="eastAsia" w:ascii="Arial" w:hAnsi="Arial" w:eastAsia="黑体" w:cs="Times New Roman"/>
          <w:b/>
          <w:bCs/>
          <w:color w:val="auto"/>
          <w:kern w:val="2"/>
          <w:sz w:val="28"/>
          <w:szCs w:val="28"/>
          <w:highlight w:val="none"/>
          <w:lang w:val="en-US" w:eastAsia="zh-CN" w:bidi="ar"/>
        </w:rPr>
        <w:t xml:space="preserve"> </w:t>
      </w:r>
    </w:p>
    <w:p w14:paraId="619E7FC8">
      <w:pPr>
        <w:keepNext/>
        <w:keepLines/>
        <w:widowControl w:val="0"/>
        <w:suppressLineNumbers w:val="0"/>
        <w:spacing w:before="280" w:beforeLines="0" w:beforeAutospacing="0" w:after="290" w:afterLines="0" w:afterAutospacing="0" w:line="372" w:lineRule="auto"/>
        <w:ind w:left="0" w:right="0"/>
        <w:jc w:val="center"/>
        <w:outlineLvl w:val="3"/>
        <w:rPr>
          <w:rFonts w:hint="default" w:ascii="Arial" w:hAnsi="Arial" w:eastAsia="黑体" w:cs="Times New Roman"/>
          <w:b/>
          <w:bCs/>
          <w:color w:val="auto"/>
          <w:kern w:val="2"/>
          <w:sz w:val="23"/>
          <w:szCs w:val="23"/>
          <w:highlight w:val="none"/>
        </w:rPr>
      </w:pPr>
      <w:r>
        <w:rPr>
          <w:rFonts w:hint="eastAsia" w:ascii="Arial" w:hAnsi="Arial" w:eastAsia="黑体" w:cs="Times New Roman"/>
          <w:b/>
          <w:bCs/>
          <w:color w:val="auto"/>
          <w:kern w:val="2"/>
          <w:sz w:val="28"/>
          <w:szCs w:val="28"/>
          <w:highlight w:val="none"/>
          <w:lang w:val="en-US" w:eastAsia="zh-CN" w:bidi="ar"/>
        </w:rPr>
        <w:br w:type="page"/>
      </w:r>
      <w:r>
        <w:rPr>
          <w:rFonts w:hint="eastAsia" w:ascii="黑体" w:hAnsi="宋体" w:eastAsia="黑体" w:cs="黑体"/>
          <w:b/>
          <w:bCs/>
          <w:color w:val="auto"/>
          <w:kern w:val="2"/>
          <w:sz w:val="28"/>
          <w:szCs w:val="28"/>
          <w:highlight w:val="none"/>
          <w:lang w:val="en-US" w:eastAsia="zh-CN" w:bidi="ar"/>
        </w:rPr>
        <w:t>附表</w:t>
      </w:r>
      <w:r>
        <w:rPr>
          <w:rFonts w:hint="default" w:ascii="Arial" w:hAnsi="Arial" w:eastAsia="黑体" w:cs="Arial"/>
          <w:b/>
          <w:bCs/>
          <w:color w:val="auto"/>
          <w:kern w:val="2"/>
          <w:sz w:val="28"/>
          <w:szCs w:val="28"/>
          <w:highlight w:val="none"/>
          <w:lang w:val="en-US" w:eastAsia="zh-CN" w:bidi="ar"/>
        </w:rPr>
        <w:t>3</w:t>
      </w:r>
      <w:r>
        <w:rPr>
          <w:rFonts w:hint="eastAsia" w:ascii="黑体" w:hAnsi="宋体" w:eastAsia="黑体" w:cs="黑体"/>
          <w:b/>
          <w:bCs/>
          <w:color w:val="auto"/>
          <w:kern w:val="2"/>
          <w:sz w:val="28"/>
          <w:szCs w:val="28"/>
          <w:highlight w:val="none"/>
          <w:lang w:val="en-US" w:eastAsia="zh-CN" w:bidi="ar"/>
        </w:rPr>
        <w:t>：拟任项目技术负责人简历表</w:t>
      </w:r>
    </w:p>
    <w:tbl>
      <w:tblPr>
        <w:tblStyle w:val="46"/>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08"/>
        <w:gridCol w:w="396"/>
        <w:gridCol w:w="794"/>
        <w:gridCol w:w="1023"/>
        <w:gridCol w:w="1175"/>
        <w:gridCol w:w="781"/>
        <w:gridCol w:w="1390"/>
        <w:gridCol w:w="178"/>
        <w:gridCol w:w="2355"/>
      </w:tblGrid>
      <w:tr w14:paraId="0EC9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4" w:hRule="atLeast"/>
          <w:jc w:val="center"/>
        </w:trPr>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6CC59B7A">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姓</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名</w:t>
            </w:r>
          </w:p>
        </w:tc>
        <w:tc>
          <w:tcPr>
            <w:tcW w:w="11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CC537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14:paraId="308F61FF">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龄</w:t>
            </w: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4D307E8D">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23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E7D0E86">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学历</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3DF2A124">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p>
        </w:tc>
      </w:tr>
      <w:tr w14:paraId="473E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2105B342">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称</w:t>
            </w:r>
          </w:p>
        </w:tc>
        <w:tc>
          <w:tcPr>
            <w:tcW w:w="11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51A9A4">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14:paraId="054FD6B6">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职</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务</w:t>
            </w: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74135E95">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p>
        </w:tc>
        <w:tc>
          <w:tcPr>
            <w:tcW w:w="234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F84A7F4">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拟在本合同任职</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0BA809A6">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p>
        </w:tc>
      </w:tr>
      <w:tr w14:paraId="038F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467F824E">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毕业学校</w:t>
            </w:r>
          </w:p>
        </w:tc>
        <w:tc>
          <w:tcPr>
            <w:tcW w:w="8092" w:type="dxa"/>
            <w:gridSpan w:val="8"/>
            <w:tcBorders>
              <w:top w:val="single" w:color="auto" w:sz="4" w:space="0"/>
              <w:left w:val="single" w:color="auto" w:sz="4" w:space="0"/>
              <w:bottom w:val="single" w:color="auto" w:sz="4" w:space="0"/>
              <w:right w:val="single" w:color="auto" w:sz="4" w:space="0"/>
            </w:tcBorders>
            <w:shd w:val="clear" w:color="auto" w:fill="auto"/>
            <w:vAlign w:val="top"/>
          </w:tcPr>
          <w:p w14:paraId="5DE830AA">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年毕业于</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学校</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专业</w:t>
            </w:r>
          </w:p>
        </w:tc>
      </w:tr>
      <w:tr w14:paraId="519F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40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526914C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主要工作经历</w:t>
            </w:r>
          </w:p>
        </w:tc>
      </w:tr>
      <w:tr w14:paraId="61BD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FCFA1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时</w:t>
            </w:r>
            <w:r>
              <w:rPr>
                <w:rFonts w:hint="eastAsia" w:ascii="宋体"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间</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599E91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参加过的类似项目</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14:paraId="2A334AE4">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担任职务</w:t>
            </w: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B7E2CA">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发包人及联系电话</w:t>
            </w:r>
          </w:p>
        </w:tc>
      </w:tr>
      <w:tr w14:paraId="71D7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88A5FD">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22E1B7D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7D7BF2D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D0D846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3F6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CEE676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62AF69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44F2229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B57CBA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2DB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5906E4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6CA14E03">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607CA73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0E26FB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2F15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D6F609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1773C44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299FBDF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F19FB7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21C6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C7031B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51DC0D5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2D1EB86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A77EF5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22A8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C1C67A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3177FF4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0911664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32F996D">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484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D7117B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6C99B1C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583E93E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5F87B1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021D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38A0836">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3A6C504B">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6D33CCF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B3EA3F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2C50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71B466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1E0C246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6709D95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83FBB6F">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5F6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F4C5603">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3A312D3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76549B74">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1505C5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r w14:paraId="622D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8089905">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17BC668">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14:paraId="1C5583EF">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c>
          <w:tcPr>
            <w:tcW w:w="253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01375E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1"/>
                <w:szCs w:val="21"/>
                <w:highlight w:val="none"/>
              </w:rPr>
            </w:pPr>
          </w:p>
        </w:tc>
      </w:tr>
    </w:tbl>
    <w:p w14:paraId="10F89D5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highlight w:val="none"/>
          <w:lang w:eastAsia="zh-CN"/>
        </w:rPr>
      </w:pPr>
    </w:p>
    <w:p w14:paraId="366E45B7">
      <w:pPr>
        <w:rPr>
          <w:rFonts w:eastAsia="黑体"/>
          <w:color w:val="auto"/>
          <w:sz w:val="28"/>
          <w:szCs w:val="28"/>
          <w:highlight w:val="none"/>
          <w:u w:val="single"/>
        </w:rPr>
      </w:pPr>
      <w:r>
        <w:rPr>
          <w:rFonts w:hint="eastAsia" w:ascii="宋体" w:hAnsi="宋体"/>
          <w:b/>
          <w:color w:val="auto"/>
          <w:sz w:val="32"/>
          <w:szCs w:val="32"/>
          <w:highlight w:val="none"/>
        </w:rPr>
        <w:br w:type="page"/>
      </w:r>
    </w:p>
    <w:p w14:paraId="4564BEC9">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黑体"/>
          <w:color w:val="auto"/>
          <w:kern w:val="2"/>
          <w:sz w:val="20"/>
          <w:szCs w:val="20"/>
          <w:highlight w:val="none"/>
        </w:rPr>
      </w:pPr>
      <w:r>
        <w:rPr>
          <w:rFonts w:hint="eastAsia" w:ascii="黑体" w:hAnsi="宋体" w:eastAsia="黑体" w:cs="黑体"/>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（项目名称）</w:t>
      </w:r>
    </w:p>
    <w:p w14:paraId="09647CC2">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黑体"/>
          <w:color w:val="auto"/>
          <w:kern w:val="2"/>
          <w:sz w:val="20"/>
          <w:szCs w:val="20"/>
          <w:highlight w:val="none"/>
        </w:rPr>
      </w:pPr>
      <w:r>
        <w:rPr>
          <w:rFonts w:hint="eastAsia" w:ascii="黑体" w:hAnsi="宋体" w:eastAsia="黑体" w:cs="黑体"/>
          <w:color w:val="auto"/>
          <w:kern w:val="2"/>
          <w:sz w:val="20"/>
          <w:szCs w:val="20"/>
          <w:highlight w:val="none"/>
          <w:lang w:val="en-US" w:eastAsia="zh-CN" w:bidi="ar"/>
        </w:rPr>
        <w:t xml:space="preserve"> </w:t>
      </w:r>
    </w:p>
    <w:p w14:paraId="1E4A2F0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color w:val="auto"/>
          <w:kern w:val="2"/>
          <w:sz w:val="20"/>
          <w:szCs w:val="20"/>
          <w:highlight w:val="none"/>
        </w:rPr>
      </w:pPr>
      <w:r>
        <w:rPr>
          <w:rFonts w:hint="eastAsia" w:ascii="黑体" w:hAnsi="宋体" w:eastAsia="黑体" w:cs="黑体"/>
          <w:color w:val="auto"/>
          <w:kern w:val="2"/>
          <w:sz w:val="20"/>
          <w:szCs w:val="20"/>
          <w:highlight w:val="none"/>
          <w:lang w:val="en-US" w:eastAsia="zh-CN" w:bidi="ar"/>
        </w:rPr>
        <w:t xml:space="preserve"> </w:t>
      </w:r>
    </w:p>
    <w:p w14:paraId="7E19AAB0">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黑体"/>
          <w:color w:val="auto"/>
          <w:kern w:val="2"/>
          <w:sz w:val="44"/>
          <w:szCs w:val="44"/>
          <w:highlight w:val="none"/>
        </w:rPr>
      </w:pPr>
      <w:r>
        <w:rPr>
          <w:rFonts w:hint="eastAsia" w:ascii="黑体" w:hAnsi="宋体" w:eastAsia="黑体" w:cs="黑体"/>
          <w:color w:val="auto"/>
          <w:kern w:val="2"/>
          <w:sz w:val="44"/>
          <w:szCs w:val="44"/>
          <w:highlight w:val="none"/>
          <w:lang w:val="en-US" w:eastAsia="zh-CN" w:bidi="ar"/>
        </w:rPr>
        <w:t>投</w:t>
      </w:r>
      <w:r>
        <w:rPr>
          <w:rFonts w:hint="default" w:ascii="Times New Roman" w:hAnsi="Times New Roman" w:eastAsia="黑体" w:cs="Times New Roman"/>
          <w:color w:val="auto"/>
          <w:kern w:val="2"/>
          <w:sz w:val="44"/>
          <w:szCs w:val="44"/>
          <w:highlight w:val="none"/>
          <w:lang w:val="en-US" w:eastAsia="zh-CN" w:bidi="ar"/>
        </w:rPr>
        <w:t xml:space="preserve">  </w:t>
      </w:r>
      <w:r>
        <w:rPr>
          <w:rFonts w:hint="eastAsia" w:ascii="黑体" w:hAnsi="宋体" w:eastAsia="黑体" w:cs="黑体"/>
          <w:color w:val="auto"/>
          <w:kern w:val="2"/>
          <w:sz w:val="44"/>
          <w:szCs w:val="44"/>
          <w:highlight w:val="none"/>
          <w:lang w:val="en-US" w:eastAsia="zh-CN" w:bidi="ar"/>
        </w:rPr>
        <w:t>标</w:t>
      </w:r>
      <w:r>
        <w:rPr>
          <w:rFonts w:hint="default" w:ascii="Times New Roman" w:hAnsi="Times New Roman" w:eastAsia="黑体" w:cs="Times New Roman"/>
          <w:color w:val="auto"/>
          <w:kern w:val="2"/>
          <w:sz w:val="44"/>
          <w:szCs w:val="44"/>
          <w:highlight w:val="none"/>
          <w:lang w:val="en-US" w:eastAsia="zh-CN" w:bidi="ar"/>
        </w:rPr>
        <w:t xml:space="preserve">  </w:t>
      </w:r>
      <w:r>
        <w:rPr>
          <w:rFonts w:hint="eastAsia" w:ascii="黑体" w:hAnsi="宋体" w:eastAsia="黑体" w:cs="黑体"/>
          <w:color w:val="auto"/>
          <w:kern w:val="2"/>
          <w:sz w:val="44"/>
          <w:szCs w:val="44"/>
          <w:highlight w:val="none"/>
          <w:lang w:val="en-US" w:eastAsia="zh-CN" w:bidi="ar"/>
        </w:rPr>
        <w:t>文</w:t>
      </w:r>
      <w:r>
        <w:rPr>
          <w:rFonts w:hint="default" w:ascii="Times New Roman" w:hAnsi="Times New Roman" w:eastAsia="黑体" w:cs="Times New Roman"/>
          <w:color w:val="auto"/>
          <w:kern w:val="2"/>
          <w:sz w:val="44"/>
          <w:szCs w:val="44"/>
          <w:highlight w:val="none"/>
          <w:lang w:val="en-US" w:eastAsia="zh-CN" w:bidi="ar"/>
        </w:rPr>
        <w:t xml:space="preserve">  </w:t>
      </w:r>
      <w:r>
        <w:rPr>
          <w:rFonts w:hint="eastAsia" w:ascii="黑体" w:hAnsi="宋体" w:eastAsia="黑体" w:cs="黑体"/>
          <w:color w:val="auto"/>
          <w:kern w:val="2"/>
          <w:sz w:val="44"/>
          <w:szCs w:val="44"/>
          <w:highlight w:val="none"/>
          <w:lang w:val="en-US" w:eastAsia="zh-CN" w:bidi="ar"/>
        </w:rPr>
        <w:t>件  二</w:t>
      </w:r>
    </w:p>
    <w:p w14:paraId="205250AB">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黑体"/>
          <w:color w:val="auto"/>
          <w:kern w:val="2"/>
          <w:sz w:val="44"/>
          <w:szCs w:val="44"/>
          <w:highlight w:val="none"/>
        </w:rPr>
      </w:pPr>
      <w:r>
        <w:rPr>
          <w:rFonts w:hint="eastAsia" w:ascii="黑体" w:hAnsi="宋体" w:eastAsia="黑体" w:cs="黑体"/>
          <w:color w:val="auto"/>
          <w:kern w:val="2"/>
          <w:sz w:val="44"/>
          <w:szCs w:val="44"/>
          <w:highlight w:val="none"/>
          <w:lang w:val="en-US" w:eastAsia="zh-CN" w:bidi="ar"/>
        </w:rPr>
        <w:t>（技术标文件）</w:t>
      </w:r>
    </w:p>
    <w:p w14:paraId="39C8A60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5924AA4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21A5D3D9">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51D23904">
      <w:pPr>
        <w:pStyle w:val="42"/>
        <w:keepNext w:val="0"/>
        <w:keepLines w:val="0"/>
        <w:widowControl w:val="0"/>
        <w:suppressLineNumbers w:val="0"/>
        <w:adjustRightInd w:val="0"/>
        <w:snapToGrid w:val="0"/>
        <w:spacing w:before="0" w:beforeAutospacing="1" w:after="0" w:afterLines="0" w:afterAutospacing="0" w:line="560" w:lineRule="exact"/>
        <w:ind w:right="0"/>
        <w:jc w:val="center"/>
        <w:rPr>
          <w:rFonts w:hint="default" w:ascii="Times New Roman" w:hAnsi="Times New Roman" w:eastAsia="黑体" w:cs="Times New Roman"/>
          <w:color w:val="auto"/>
          <w:kern w:val="2"/>
          <w:sz w:val="28"/>
          <w:szCs w:val="28"/>
          <w:highlight w:val="none"/>
          <w:lang w:val="en-US"/>
        </w:rPr>
      </w:pPr>
      <w:r>
        <w:rPr>
          <w:rFonts w:hint="default" w:ascii="Times New Roman" w:hAnsi="Times New Roman" w:eastAsia="黑体" w:cs="Times New Roman"/>
          <w:color w:val="auto"/>
          <w:kern w:val="2"/>
          <w:sz w:val="28"/>
          <w:szCs w:val="28"/>
          <w:highlight w:val="none"/>
          <w:lang w:val="en-US" w:eastAsia="zh-CN" w:bidi="ar"/>
        </w:rPr>
        <w:t>项目编号：</w:t>
      </w:r>
      <w:r>
        <w:rPr>
          <w:rFonts w:hint="eastAsia" w:ascii="Times New Roman" w:hAnsi="Times New Roman" w:eastAsia="黑体" w:cs="Times New Roman"/>
          <w:color w:val="auto"/>
          <w:kern w:val="2"/>
          <w:sz w:val="28"/>
          <w:szCs w:val="28"/>
          <w:highlight w:val="none"/>
          <w:u w:val="single"/>
          <w:lang w:val="en-US" w:eastAsia="zh-CN" w:bidi="ar"/>
        </w:rPr>
        <w:t xml:space="preserve">    </w:t>
      </w:r>
    </w:p>
    <w:p w14:paraId="370574F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47EF769A">
      <w:pPr>
        <w:pStyle w:val="42"/>
        <w:keepNext w:val="0"/>
        <w:keepLines w:val="0"/>
        <w:widowControl w:val="0"/>
        <w:suppressLineNumbers w:val="0"/>
        <w:adjustRightInd w:val="0"/>
        <w:snapToGrid w:val="0"/>
        <w:spacing w:before="0" w:beforeAutospacing="1" w:after="0" w:afterLines="0" w:afterAutospacing="0" w:line="560" w:lineRule="exact"/>
        <w:ind w:left="0" w:leftChars="0" w:right="0" w:firstLine="0" w:firstLineChars="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60A6984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312E141A">
      <w:pPr>
        <w:pStyle w:val="42"/>
        <w:keepNext w:val="0"/>
        <w:keepLines w:val="0"/>
        <w:widowControl w:val="0"/>
        <w:suppressLineNumbers w:val="0"/>
        <w:adjustRightInd w:val="0"/>
        <w:snapToGrid w:val="0"/>
        <w:spacing w:before="0" w:beforeAutospacing="1" w:after="0" w:afterLines="0" w:afterAutospacing="0" w:line="560" w:lineRule="exact"/>
        <w:ind w:left="0" w:leftChars="0" w:right="0" w:firstLine="560" w:firstLineChars="20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02FE8F17">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681AE22D">
      <w:pPr>
        <w:pStyle w:val="42"/>
        <w:keepNext w:val="0"/>
        <w:keepLines w:val="0"/>
        <w:widowControl w:val="0"/>
        <w:suppressLineNumbers w:val="0"/>
        <w:adjustRightInd w:val="0"/>
        <w:snapToGrid w:val="0"/>
        <w:spacing w:before="0" w:beforeAutospacing="1" w:after="0" w:afterLines="0" w:afterAutospacing="0" w:line="560" w:lineRule="exact"/>
        <w:ind w:left="0" w:leftChars="0" w:right="0" w:firstLine="420" w:firstLineChars="200"/>
        <w:jc w:val="both"/>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lang w:val="en-US" w:eastAsia="zh-CN" w:bidi="ar"/>
        </w:rPr>
        <w:t xml:space="preserve"> </w:t>
      </w:r>
    </w:p>
    <w:p w14:paraId="2AA04FB2">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7A475EFC">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752C1EF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黑体" w:cs="Times New Roman"/>
          <w:color w:val="auto"/>
          <w:kern w:val="2"/>
          <w:sz w:val="28"/>
          <w:szCs w:val="28"/>
          <w:highlight w:val="none"/>
        </w:rPr>
      </w:pPr>
      <w:r>
        <w:rPr>
          <w:rFonts w:hint="default" w:ascii="Times New Roman" w:hAnsi="Times New Roman" w:eastAsia="黑体" w:cs="Times New Roman"/>
          <w:color w:val="auto"/>
          <w:kern w:val="2"/>
          <w:sz w:val="28"/>
          <w:szCs w:val="28"/>
          <w:highlight w:val="none"/>
          <w:lang w:val="en-US" w:eastAsia="zh-CN" w:bidi="ar"/>
        </w:rPr>
        <w:t xml:space="preserve"> </w:t>
      </w:r>
    </w:p>
    <w:p w14:paraId="50B3C788">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黑体" w:cs="Times New Roman"/>
          <w:color w:val="auto"/>
          <w:kern w:val="2"/>
          <w:sz w:val="28"/>
          <w:szCs w:val="28"/>
          <w:highlight w:val="none"/>
          <w:u w:val="single"/>
        </w:rPr>
      </w:pPr>
      <w:r>
        <w:rPr>
          <w:rFonts w:hint="eastAsia" w:ascii="黑体" w:hAnsi="宋体" w:eastAsia="黑体" w:cs="黑体"/>
          <w:color w:val="auto"/>
          <w:kern w:val="2"/>
          <w:sz w:val="28"/>
          <w:szCs w:val="28"/>
          <w:highlight w:val="none"/>
          <w:lang w:val="en-US" w:eastAsia="zh-CN" w:bidi="ar"/>
        </w:rPr>
        <w:t>投标人：</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u w:val="single"/>
          <w:lang w:val="en-US" w:eastAsia="zh-CN" w:bidi="ar"/>
        </w:rPr>
        <w:t xml:space="preserve">        </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（签章）</w:t>
      </w:r>
    </w:p>
    <w:p w14:paraId="14585D8F">
      <w:pPr>
        <w:keepNext w:val="0"/>
        <w:keepLines w:val="0"/>
        <w:widowControl w:val="0"/>
        <w:suppressLineNumbers w:val="0"/>
        <w:adjustRightInd w:val="0"/>
        <w:snapToGrid w:val="0"/>
        <w:spacing w:before="0" w:beforeAutospacing="0" w:after="0" w:afterAutospacing="0" w:line="560" w:lineRule="exact"/>
        <w:ind w:left="0" w:right="0"/>
        <w:jc w:val="center"/>
        <w:rPr>
          <w:rFonts w:hint="default" w:ascii="Times New Roman" w:hAnsi="Times New Roman" w:eastAsia="黑体" w:cs="Times New Roman"/>
          <w:color w:val="auto"/>
          <w:kern w:val="2"/>
          <w:sz w:val="28"/>
          <w:szCs w:val="28"/>
          <w:highlight w:val="none"/>
        </w:rPr>
      </w:pPr>
      <w:r>
        <w:rPr>
          <w:rFonts w:hint="eastAsia" w:ascii="黑体" w:hAnsi="宋体" w:eastAsia="黑体" w:cs="黑体"/>
          <w:color w:val="auto"/>
          <w:kern w:val="2"/>
          <w:sz w:val="28"/>
          <w:szCs w:val="28"/>
          <w:highlight w:val="none"/>
          <w:lang w:val="en-US" w:eastAsia="zh-CN" w:bidi="ar"/>
        </w:rPr>
        <w:t>法定代表人或授权委托人：</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（签章）</w:t>
      </w:r>
    </w:p>
    <w:p w14:paraId="7B6F132F">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年</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月</w:t>
      </w:r>
      <w:r>
        <w:rPr>
          <w:rFonts w:hint="default" w:ascii="Times New Roman" w:hAnsi="Times New Roman" w:eastAsia="黑体" w:cs="Times New Roman"/>
          <w:color w:val="auto"/>
          <w:kern w:val="2"/>
          <w:sz w:val="28"/>
          <w:szCs w:val="28"/>
          <w:highlight w:val="none"/>
          <w:u w:val="single"/>
          <w:lang w:val="en-US" w:eastAsia="zh-CN" w:bidi="ar"/>
        </w:rPr>
        <w:t xml:space="preserve">        </w:t>
      </w:r>
      <w:r>
        <w:rPr>
          <w:rFonts w:hint="eastAsia" w:ascii="黑体" w:hAnsi="宋体" w:eastAsia="黑体" w:cs="黑体"/>
          <w:color w:val="auto"/>
          <w:kern w:val="2"/>
          <w:sz w:val="28"/>
          <w:szCs w:val="28"/>
          <w:highlight w:val="none"/>
          <w:lang w:val="en-US" w:eastAsia="zh-CN" w:bidi="ar"/>
        </w:rPr>
        <w:t>日</w:t>
      </w:r>
    </w:p>
    <w:p w14:paraId="732C2BA4">
      <w:pPr>
        <w:pStyle w:val="42"/>
        <w:keepNext w:val="0"/>
        <w:keepLines w:val="0"/>
        <w:widowControl w:val="0"/>
        <w:suppressLineNumbers w:val="0"/>
        <w:spacing w:before="0" w:beforeAutospacing="1" w:after="120" w:afterLines="0" w:afterAutospacing="0"/>
        <w:ind w:left="420" w:leftChars="20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62F53350">
      <w:pPr>
        <w:pStyle w:val="7"/>
        <w:widowControl/>
        <w:rPr>
          <w:rFonts w:hint="eastAsia" w:ascii="Arial" w:hAnsi="Arial" w:eastAsia="黑体" w:cs="黑体"/>
          <w:b/>
          <w:bCs/>
          <w:color w:val="auto"/>
          <w:kern w:val="2"/>
          <w:sz w:val="32"/>
          <w:szCs w:val="32"/>
          <w:highlight w:val="none"/>
        </w:rPr>
      </w:pPr>
      <w:r>
        <w:rPr>
          <w:rFonts w:hint="eastAsia" w:ascii="黑体" w:hAnsi="宋体" w:eastAsia="黑体" w:cs="黑体"/>
          <w:b/>
          <w:bCs/>
          <w:color w:val="auto"/>
          <w:kern w:val="2"/>
          <w:sz w:val="32"/>
          <w:szCs w:val="32"/>
          <w:highlight w:val="none"/>
        </w:rPr>
        <w:t>投标文件二：技术标目录</w:t>
      </w:r>
    </w:p>
    <w:p w14:paraId="20807592">
      <w:pPr>
        <w:keepNext w:val="0"/>
        <w:keepLines w:val="0"/>
        <w:widowControl w:val="0"/>
        <w:suppressLineNumbers w:val="0"/>
        <w:adjustRightInd w:val="0"/>
        <w:snapToGrid w:val="0"/>
        <w:spacing w:before="0" w:beforeAutospacing="0" w:after="0" w:afterAutospacing="0" w:line="560" w:lineRule="exact"/>
        <w:ind w:left="0" w:right="0" w:firstLine="420" w:firstLineChars="200"/>
        <w:jc w:val="both"/>
        <w:rPr>
          <w:rFonts w:hint="default"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bidi="ar"/>
        </w:rPr>
        <w:t>（1）</w:t>
      </w:r>
      <w:r>
        <w:rPr>
          <w:rFonts w:hint="eastAsia" w:ascii="宋体" w:hAnsi="宋体" w:cs="宋体"/>
          <w:color w:val="auto"/>
          <w:kern w:val="2"/>
          <w:sz w:val="21"/>
          <w:szCs w:val="21"/>
          <w:highlight w:val="none"/>
          <w:lang w:val="en-US" w:eastAsia="zh-CN" w:bidi="ar"/>
        </w:rPr>
        <w:t>技术实施方案；</w:t>
      </w:r>
    </w:p>
    <w:p w14:paraId="61F67575">
      <w:pPr>
        <w:keepNext w:val="0"/>
        <w:keepLines w:val="0"/>
        <w:widowControl w:val="0"/>
        <w:suppressLineNumbers w:val="0"/>
        <w:adjustRightInd w:val="0"/>
        <w:snapToGrid w:val="0"/>
        <w:spacing w:before="0" w:beforeAutospacing="0" w:after="0" w:afterAutospacing="0" w:line="5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（2）其他技术标评审所需资料</w:t>
      </w:r>
      <w:r>
        <w:rPr>
          <w:rFonts w:hint="eastAsia" w:ascii="宋体" w:hAnsi="宋体" w:cs="宋体"/>
          <w:color w:val="auto"/>
          <w:kern w:val="2"/>
          <w:sz w:val="21"/>
          <w:szCs w:val="21"/>
          <w:highlight w:val="none"/>
          <w:lang w:val="en-US" w:eastAsia="zh-CN" w:bidi="ar"/>
        </w:rPr>
        <w:t>。</w:t>
      </w:r>
    </w:p>
    <w:p w14:paraId="70D6B87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052383FA">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color w:val="auto"/>
          <w:kern w:val="2"/>
          <w:sz w:val="21"/>
          <w:szCs w:val="21"/>
          <w:highlight w:val="none"/>
        </w:rPr>
      </w:pPr>
      <w:r>
        <w:rPr>
          <w:rFonts w:hint="eastAsia" w:ascii="仿宋_GB2312" w:hAnsi="Times New Roman" w:eastAsia="仿宋_GB2312" w:cs="仿宋_GB2312"/>
          <w:color w:val="auto"/>
          <w:kern w:val="2"/>
          <w:sz w:val="21"/>
          <w:szCs w:val="21"/>
          <w:highlight w:val="none"/>
          <w:lang w:val="en-US" w:eastAsia="zh-CN" w:bidi="ar"/>
        </w:rPr>
        <w:t xml:space="preserve"> </w:t>
      </w:r>
    </w:p>
    <w:p w14:paraId="64CE274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color w:val="auto"/>
          <w:kern w:val="2"/>
          <w:sz w:val="20"/>
          <w:szCs w:val="20"/>
          <w:highlight w:val="none"/>
        </w:rPr>
      </w:pPr>
      <w:r>
        <w:rPr>
          <w:rFonts w:hint="eastAsia" w:ascii="黑体" w:hAnsi="宋体" w:eastAsia="黑体" w:cs="黑体"/>
          <w:color w:val="auto"/>
          <w:kern w:val="2"/>
          <w:sz w:val="20"/>
          <w:szCs w:val="20"/>
          <w:highlight w:val="none"/>
          <w:lang w:val="en-US" w:eastAsia="zh-CN" w:bidi="ar"/>
        </w:rPr>
        <w:t xml:space="preserve"> </w:t>
      </w:r>
    </w:p>
    <w:p w14:paraId="5E18DB09">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3EE2969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4D6688DA">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2C2EA74B">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27F162D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p>
    <w:p w14:paraId="795F94DB">
      <w:pPr>
        <w:rPr>
          <w:color w:val="auto"/>
          <w:highlight w:val="none"/>
        </w:rPr>
      </w:pPr>
      <w:r>
        <w:rPr>
          <w:color w:val="auto"/>
          <w:highlight w:val="none"/>
        </w:rPr>
        <w:br w:type="page"/>
      </w:r>
    </w:p>
    <w:p w14:paraId="2AB368F8">
      <w:pPr>
        <w:pStyle w:val="2"/>
        <w:rPr>
          <w:color w:val="auto"/>
          <w:highlight w:val="none"/>
        </w:rPr>
      </w:pPr>
    </w:p>
    <w:p w14:paraId="564C96EF">
      <w:pPr>
        <w:jc w:val="center"/>
        <w:rPr>
          <w:rFonts w:eastAsia="黑体"/>
          <w:color w:val="auto"/>
          <w:sz w:val="20"/>
          <w:szCs w:val="20"/>
          <w:highlight w:val="none"/>
        </w:rPr>
      </w:pPr>
      <w:r>
        <w:rPr>
          <w:rFonts w:eastAsia="黑体"/>
          <w:color w:val="auto"/>
          <w:sz w:val="28"/>
          <w:szCs w:val="28"/>
          <w:highlight w:val="none"/>
        </w:rPr>
        <w:t>（项目名称）</w:t>
      </w:r>
    </w:p>
    <w:p w14:paraId="22EC766D">
      <w:pPr>
        <w:jc w:val="center"/>
        <w:rPr>
          <w:rFonts w:eastAsia="黑体"/>
          <w:color w:val="auto"/>
          <w:sz w:val="20"/>
          <w:szCs w:val="20"/>
          <w:highlight w:val="none"/>
        </w:rPr>
      </w:pPr>
    </w:p>
    <w:p w14:paraId="57900F6E">
      <w:pPr>
        <w:rPr>
          <w:rFonts w:eastAsia="黑体"/>
          <w:color w:val="auto"/>
          <w:sz w:val="20"/>
          <w:szCs w:val="20"/>
          <w:highlight w:val="none"/>
        </w:rPr>
      </w:pPr>
    </w:p>
    <w:p w14:paraId="149665AF">
      <w:pPr>
        <w:jc w:val="center"/>
        <w:rPr>
          <w:rFonts w:hint="eastAsia" w:eastAsia="黑体"/>
          <w:color w:val="auto"/>
          <w:sz w:val="44"/>
          <w:szCs w:val="44"/>
          <w:highlight w:val="none"/>
          <w:lang w:eastAsia="zh-CN"/>
        </w:rPr>
      </w:pPr>
      <w:r>
        <w:rPr>
          <w:rFonts w:eastAsia="黑体"/>
          <w:color w:val="auto"/>
          <w:sz w:val="44"/>
          <w:szCs w:val="44"/>
          <w:highlight w:val="none"/>
        </w:rPr>
        <w:t>投  标  文  件</w:t>
      </w:r>
      <w:r>
        <w:rPr>
          <w:rFonts w:hint="eastAsia" w:eastAsia="黑体"/>
          <w:color w:val="auto"/>
          <w:sz w:val="44"/>
          <w:szCs w:val="44"/>
          <w:highlight w:val="none"/>
        </w:rPr>
        <w:t xml:space="preserve">  </w:t>
      </w:r>
      <w:r>
        <w:rPr>
          <w:rFonts w:hint="eastAsia" w:eastAsia="黑体"/>
          <w:color w:val="auto"/>
          <w:sz w:val="44"/>
          <w:szCs w:val="44"/>
          <w:highlight w:val="none"/>
          <w:lang w:val="en-US" w:eastAsia="zh-CN"/>
        </w:rPr>
        <w:t>三</w:t>
      </w:r>
    </w:p>
    <w:p w14:paraId="445D8028">
      <w:pPr>
        <w:jc w:val="center"/>
        <w:rPr>
          <w:rFonts w:eastAsia="黑体"/>
          <w:color w:val="auto"/>
          <w:sz w:val="44"/>
          <w:szCs w:val="44"/>
          <w:highlight w:val="none"/>
        </w:rPr>
      </w:pPr>
      <w:r>
        <w:rPr>
          <w:rFonts w:hint="eastAsia" w:eastAsia="黑体"/>
          <w:color w:val="auto"/>
          <w:sz w:val="44"/>
          <w:szCs w:val="44"/>
          <w:highlight w:val="none"/>
        </w:rPr>
        <w:t>（商务标文件）</w:t>
      </w:r>
    </w:p>
    <w:p w14:paraId="30CBC1F1">
      <w:pPr>
        <w:rPr>
          <w:rFonts w:eastAsia="黑体"/>
          <w:color w:val="auto"/>
          <w:sz w:val="28"/>
          <w:szCs w:val="28"/>
          <w:highlight w:val="none"/>
        </w:rPr>
      </w:pPr>
    </w:p>
    <w:p w14:paraId="35F52FCF">
      <w:pPr>
        <w:rPr>
          <w:rFonts w:eastAsia="黑体"/>
          <w:color w:val="auto"/>
          <w:sz w:val="28"/>
          <w:szCs w:val="28"/>
          <w:highlight w:val="none"/>
        </w:rPr>
      </w:pPr>
    </w:p>
    <w:p w14:paraId="47AF6FD3">
      <w:pPr>
        <w:rPr>
          <w:rFonts w:eastAsia="黑体"/>
          <w:color w:val="auto"/>
          <w:sz w:val="28"/>
          <w:szCs w:val="28"/>
          <w:highlight w:val="none"/>
        </w:rPr>
      </w:pPr>
    </w:p>
    <w:p w14:paraId="70523D80">
      <w:pPr>
        <w:rPr>
          <w:rFonts w:eastAsia="黑体"/>
          <w:color w:val="auto"/>
          <w:sz w:val="28"/>
          <w:szCs w:val="28"/>
          <w:highlight w:val="none"/>
        </w:rPr>
      </w:pPr>
    </w:p>
    <w:p w14:paraId="585952F6">
      <w:pPr>
        <w:jc w:val="center"/>
        <w:rPr>
          <w:rFonts w:hint="default" w:eastAsia="黑体"/>
          <w:color w:val="auto"/>
          <w:sz w:val="28"/>
          <w:szCs w:val="28"/>
          <w:highlight w:val="none"/>
          <w:u w:val="single"/>
          <w:lang w:val="en-US" w:eastAsia="zh-CN"/>
        </w:rPr>
      </w:pPr>
      <w:r>
        <w:rPr>
          <w:rFonts w:hint="eastAsia" w:eastAsia="黑体"/>
          <w:color w:val="auto"/>
          <w:sz w:val="28"/>
          <w:szCs w:val="28"/>
          <w:highlight w:val="none"/>
        </w:rPr>
        <w:t>项目编号：</w:t>
      </w:r>
      <w:r>
        <w:rPr>
          <w:rFonts w:hint="eastAsia" w:eastAsia="黑体"/>
          <w:color w:val="auto"/>
          <w:sz w:val="28"/>
          <w:szCs w:val="28"/>
          <w:highlight w:val="none"/>
          <w:u w:val="single"/>
          <w:lang w:val="en-US" w:eastAsia="zh-CN"/>
        </w:rPr>
        <w:t xml:space="preserve">    </w:t>
      </w:r>
    </w:p>
    <w:p w14:paraId="6A527257">
      <w:pPr>
        <w:rPr>
          <w:rFonts w:eastAsia="黑体"/>
          <w:color w:val="auto"/>
          <w:sz w:val="28"/>
          <w:szCs w:val="28"/>
          <w:highlight w:val="none"/>
        </w:rPr>
      </w:pPr>
    </w:p>
    <w:p w14:paraId="39902399">
      <w:pPr>
        <w:rPr>
          <w:rFonts w:eastAsia="黑体"/>
          <w:color w:val="auto"/>
          <w:sz w:val="28"/>
          <w:szCs w:val="28"/>
          <w:highlight w:val="none"/>
        </w:rPr>
      </w:pPr>
    </w:p>
    <w:p w14:paraId="69BE83A3">
      <w:pPr>
        <w:rPr>
          <w:rFonts w:eastAsia="黑体"/>
          <w:color w:val="auto"/>
          <w:sz w:val="28"/>
          <w:szCs w:val="28"/>
          <w:highlight w:val="none"/>
        </w:rPr>
      </w:pPr>
    </w:p>
    <w:p w14:paraId="5616E6F9">
      <w:pPr>
        <w:rPr>
          <w:rFonts w:eastAsia="黑体"/>
          <w:color w:val="auto"/>
          <w:sz w:val="28"/>
          <w:szCs w:val="28"/>
          <w:highlight w:val="none"/>
        </w:rPr>
      </w:pPr>
    </w:p>
    <w:p w14:paraId="343F2D06">
      <w:pPr>
        <w:rPr>
          <w:rFonts w:eastAsia="黑体"/>
          <w:color w:val="auto"/>
          <w:sz w:val="28"/>
          <w:szCs w:val="28"/>
          <w:highlight w:val="none"/>
        </w:rPr>
      </w:pPr>
    </w:p>
    <w:p w14:paraId="3E07C68D">
      <w:pPr>
        <w:rPr>
          <w:rFonts w:eastAsia="黑体"/>
          <w:color w:val="auto"/>
          <w:sz w:val="28"/>
          <w:szCs w:val="28"/>
          <w:highlight w:val="none"/>
        </w:rPr>
      </w:pPr>
    </w:p>
    <w:p w14:paraId="44D66E1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签章</w:t>
      </w:r>
      <w:r>
        <w:rPr>
          <w:rFonts w:eastAsia="黑体"/>
          <w:color w:val="auto"/>
          <w:sz w:val="28"/>
          <w:szCs w:val="28"/>
          <w:highlight w:val="none"/>
        </w:rPr>
        <w:t>）</w:t>
      </w:r>
    </w:p>
    <w:p w14:paraId="2663CD77">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签章</w:t>
      </w:r>
      <w:r>
        <w:rPr>
          <w:rFonts w:eastAsia="黑体"/>
          <w:color w:val="auto"/>
          <w:sz w:val="28"/>
          <w:szCs w:val="28"/>
          <w:highlight w:val="none"/>
        </w:rPr>
        <w:t>）</w:t>
      </w:r>
    </w:p>
    <w:p w14:paraId="63A08AA1">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73943EF2">
      <w:pPr>
        <w:rPr>
          <w:color w:val="auto"/>
          <w:highlight w:val="none"/>
        </w:rPr>
      </w:pPr>
    </w:p>
    <w:p w14:paraId="06E7811B">
      <w:pPr>
        <w:pStyle w:val="2"/>
        <w:ind w:firstLine="420"/>
        <w:rPr>
          <w:color w:val="auto"/>
          <w:highlight w:val="none"/>
        </w:rPr>
      </w:pPr>
    </w:p>
    <w:p w14:paraId="1E7679BC">
      <w:pPr>
        <w:rPr>
          <w:color w:val="auto"/>
          <w:highlight w:val="none"/>
        </w:rPr>
      </w:pPr>
    </w:p>
    <w:p w14:paraId="772CCC6C">
      <w:pPr>
        <w:spacing w:beforeLines="50" w:afterLines="50" w:line="440" w:lineRule="exact"/>
        <w:ind w:firstLine="643" w:firstLineChars="200"/>
        <w:jc w:val="left"/>
        <w:rPr>
          <w:rStyle w:val="65"/>
          <w:rFonts w:ascii="宋体" w:hAnsi="宋体" w:cs="宋体"/>
          <w:color w:val="auto"/>
          <w:sz w:val="32"/>
          <w:highlight w:val="none"/>
        </w:rPr>
      </w:pPr>
      <w:bookmarkStart w:id="965" w:name="_Toc35425139"/>
      <w:bookmarkStart w:id="966" w:name="_Toc19174"/>
      <w:bookmarkStart w:id="967" w:name="_Toc35424973"/>
      <w:bookmarkStart w:id="968" w:name="_Toc78803401"/>
      <w:r>
        <w:rPr>
          <w:rStyle w:val="65"/>
          <w:rFonts w:hint="eastAsia" w:ascii="宋体" w:hAnsi="宋体" w:cs="宋体"/>
          <w:color w:val="auto"/>
          <w:sz w:val="32"/>
          <w:highlight w:val="none"/>
        </w:rPr>
        <w:br w:type="page"/>
      </w:r>
      <w:bookmarkStart w:id="969" w:name="_Toc26670"/>
      <w:bookmarkStart w:id="970" w:name="_Toc19057"/>
      <w:bookmarkStart w:id="971" w:name="_Toc27877"/>
      <w:r>
        <w:rPr>
          <w:rStyle w:val="65"/>
          <w:rFonts w:hint="eastAsia" w:ascii="宋体" w:hAnsi="宋体" w:cs="宋体"/>
          <w:color w:val="auto"/>
          <w:sz w:val="32"/>
          <w:highlight w:val="none"/>
        </w:rPr>
        <w:t>投标文件</w:t>
      </w:r>
      <w:bookmarkEnd w:id="965"/>
      <w:bookmarkEnd w:id="966"/>
      <w:bookmarkEnd w:id="967"/>
      <w:r>
        <w:rPr>
          <w:rStyle w:val="65"/>
          <w:rFonts w:hint="eastAsia" w:ascii="宋体" w:hAnsi="宋体" w:cs="宋体"/>
          <w:color w:val="auto"/>
          <w:sz w:val="32"/>
          <w:highlight w:val="none"/>
          <w:lang w:val="en-US"/>
        </w:rPr>
        <w:t>三</w:t>
      </w:r>
      <w:r>
        <w:rPr>
          <w:rStyle w:val="65"/>
          <w:rFonts w:hint="eastAsia" w:ascii="宋体" w:hAnsi="宋体" w:cs="宋体"/>
          <w:color w:val="auto"/>
          <w:sz w:val="32"/>
          <w:highlight w:val="none"/>
        </w:rPr>
        <w:t>：商务标目录</w:t>
      </w:r>
      <w:bookmarkEnd w:id="968"/>
    </w:p>
    <w:bookmarkEnd w:id="969"/>
    <w:bookmarkEnd w:id="970"/>
    <w:bookmarkEnd w:id="971"/>
    <w:p w14:paraId="2DA8B332">
      <w:pPr>
        <w:spacing w:line="440" w:lineRule="exact"/>
        <w:ind w:firstLine="420" w:firstLineChars="200"/>
        <w:jc w:val="left"/>
        <w:rPr>
          <w:rFonts w:hint="eastAsia" w:ascii="宋体" w:hAnsi="宋体" w:cs="宋体"/>
          <w:i/>
          <w:iCs/>
          <w:color w:val="auto"/>
          <w:szCs w:val="21"/>
          <w:highlight w:val="none"/>
        </w:rPr>
      </w:pPr>
      <w:r>
        <w:rPr>
          <w:rFonts w:hint="eastAsia" w:ascii="宋体" w:hAnsi="宋体" w:cs="宋体"/>
          <w:color w:val="auto"/>
          <w:szCs w:val="21"/>
          <w:highlight w:val="none"/>
        </w:rPr>
        <w:t>（1）投标函；</w:t>
      </w:r>
    </w:p>
    <w:p w14:paraId="3F193C46">
      <w:pPr>
        <w:spacing w:line="44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）工程量清单报价书；</w:t>
      </w:r>
    </w:p>
    <w:p w14:paraId="3C0E80E0">
      <w:pPr>
        <w:spacing w:line="440" w:lineRule="exact"/>
        <w:ind w:firstLine="420" w:firstLineChars="200"/>
        <w:jc w:val="left"/>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）推荐的材料品牌响应表（如有）</w:t>
      </w:r>
      <w:r>
        <w:rPr>
          <w:rFonts w:hint="eastAsia" w:ascii="宋体" w:hAnsi="宋体" w:cs="宋体"/>
          <w:color w:val="auto"/>
          <w:szCs w:val="21"/>
          <w:highlight w:val="none"/>
          <w:lang w:eastAsia="zh-CN"/>
        </w:rPr>
        <w:t>；</w:t>
      </w:r>
    </w:p>
    <w:p w14:paraId="639FB807">
      <w:pPr>
        <w:spacing w:line="440" w:lineRule="exact"/>
        <w:ind w:firstLine="420" w:firstLineChars="200"/>
        <w:jc w:val="lef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）全国建筑市场监管公共服务平台(四库一平台)企业注册人员网页截图；</w:t>
      </w:r>
    </w:p>
    <w:p w14:paraId="0956BA6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商务评审需要及</w:t>
      </w:r>
      <w:r>
        <w:rPr>
          <w:rFonts w:hint="eastAsia" w:ascii="宋体" w:hAnsi="宋体" w:cs="宋体"/>
          <w:color w:val="auto"/>
          <w:szCs w:val="21"/>
          <w:highlight w:val="none"/>
        </w:rPr>
        <w:t>投标人认为需要提供的其他材料。</w:t>
      </w:r>
    </w:p>
    <w:p w14:paraId="57215258">
      <w:pPr>
        <w:spacing w:line="540" w:lineRule="exact"/>
        <w:rPr>
          <w:rFonts w:eastAsia="黑体"/>
          <w:color w:val="auto"/>
          <w:sz w:val="20"/>
          <w:szCs w:val="20"/>
          <w:highlight w:val="none"/>
        </w:rPr>
      </w:pPr>
    </w:p>
    <w:p w14:paraId="45D4DCEE">
      <w:pPr>
        <w:spacing w:line="540" w:lineRule="exact"/>
        <w:rPr>
          <w:rFonts w:eastAsia="黑体"/>
          <w:color w:val="auto"/>
          <w:sz w:val="20"/>
          <w:szCs w:val="20"/>
          <w:highlight w:val="none"/>
        </w:rPr>
      </w:pPr>
    </w:p>
    <w:p w14:paraId="6A7BFB0E">
      <w:pPr>
        <w:spacing w:line="540" w:lineRule="exact"/>
        <w:rPr>
          <w:rFonts w:eastAsia="黑体"/>
          <w:color w:val="auto"/>
          <w:sz w:val="20"/>
          <w:szCs w:val="20"/>
          <w:highlight w:val="none"/>
        </w:rPr>
      </w:pPr>
    </w:p>
    <w:p w14:paraId="244F7969">
      <w:pPr>
        <w:spacing w:line="360" w:lineRule="auto"/>
        <w:ind w:firstLine="420" w:firstLineChars="200"/>
        <w:jc w:val="right"/>
        <w:rPr>
          <w:color w:val="auto"/>
          <w:szCs w:val="21"/>
          <w:highlight w:val="none"/>
          <w:u w:val="single"/>
        </w:rPr>
      </w:pPr>
    </w:p>
    <w:p w14:paraId="66667EC5">
      <w:pPr>
        <w:spacing w:line="360" w:lineRule="auto"/>
        <w:ind w:firstLine="420" w:firstLineChars="200"/>
        <w:jc w:val="right"/>
        <w:rPr>
          <w:color w:val="auto"/>
          <w:szCs w:val="21"/>
          <w:highlight w:val="none"/>
          <w:u w:val="single"/>
        </w:rPr>
      </w:pPr>
    </w:p>
    <w:p w14:paraId="1761B5FB">
      <w:pPr>
        <w:spacing w:line="360" w:lineRule="auto"/>
        <w:ind w:firstLine="420" w:firstLineChars="200"/>
        <w:jc w:val="right"/>
        <w:rPr>
          <w:color w:val="auto"/>
          <w:szCs w:val="21"/>
          <w:highlight w:val="none"/>
          <w:u w:val="single"/>
        </w:rPr>
      </w:pPr>
    </w:p>
    <w:p w14:paraId="4BBA9CFF">
      <w:pPr>
        <w:spacing w:line="360" w:lineRule="auto"/>
        <w:ind w:firstLine="420" w:firstLineChars="200"/>
        <w:jc w:val="right"/>
        <w:rPr>
          <w:color w:val="auto"/>
          <w:szCs w:val="21"/>
          <w:highlight w:val="none"/>
          <w:u w:val="single"/>
        </w:rPr>
      </w:pPr>
    </w:p>
    <w:p w14:paraId="1B352D4C">
      <w:pPr>
        <w:spacing w:line="360" w:lineRule="auto"/>
        <w:ind w:firstLine="420" w:firstLineChars="200"/>
        <w:jc w:val="right"/>
        <w:rPr>
          <w:color w:val="auto"/>
          <w:szCs w:val="21"/>
          <w:highlight w:val="none"/>
          <w:u w:val="single"/>
        </w:rPr>
      </w:pPr>
    </w:p>
    <w:p w14:paraId="646241FB">
      <w:pPr>
        <w:spacing w:line="360" w:lineRule="auto"/>
        <w:ind w:firstLine="420" w:firstLineChars="200"/>
        <w:jc w:val="right"/>
        <w:rPr>
          <w:color w:val="auto"/>
          <w:szCs w:val="21"/>
          <w:highlight w:val="none"/>
          <w:u w:val="single"/>
        </w:rPr>
      </w:pPr>
    </w:p>
    <w:p w14:paraId="321B8345">
      <w:pPr>
        <w:spacing w:line="360" w:lineRule="auto"/>
        <w:ind w:firstLine="420" w:firstLineChars="200"/>
        <w:jc w:val="right"/>
        <w:rPr>
          <w:color w:val="auto"/>
          <w:szCs w:val="21"/>
          <w:highlight w:val="none"/>
          <w:u w:val="single"/>
        </w:rPr>
      </w:pPr>
    </w:p>
    <w:p w14:paraId="415E36EA">
      <w:pPr>
        <w:spacing w:line="360" w:lineRule="auto"/>
        <w:ind w:firstLine="420" w:firstLineChars="200"/>
        <w:jc w:val="right"/>
        <w:rPr>
          <w:color w:val="auto"/>
          <w:szCs w:val="21"/>
          <w:highlight w:val="none"/>
          <w:u w:val="single"/>
        </w:rPr>
      </w:pPr>
    </w:p>
    <w:p w14:paraId="7411DAC2">
      <w:pPr>
        <w:jc w:val="center"/>
        <w:rPr>
          <w:b/>
          <w:color w:val="auto"/>
          <w:sz w:val="32"/>
          <w:szCs w:val="32"/>
          <w:highlight w:val="none"/>
        </w:rPr>
      </w:pPr>
    </w:p>
    <w:p w14:paraId="3603BAAB">
      <w:pPr>
        <w:jc w:val="center"/>
        <w:rPr>
          <w:b/>
          <w:color w:val="auto"/>
          <w:sz w:val="32"/>
          <w:szCs w:val="32"/>
          <w:highlight w:val="none"/>
        </w:rPr>
      </w:pPr>
    </w:p>
    <w:p w14:paraId="2A178D71">
      <w:pPr>
        <w:jc w:val="center"/>
        <w:rPr>
          <w:b/>
          <w:color w:val="auto"/>
          <w:sz w:val="32"/>
          <w:szCs w:val="32"/>
          <w:highlight w:val="none"/>
        </w:rPr>
      </w:pPr>
    </w:p>
    <w:p w14:paraId="135B4C78">
      <w:pPr>
        <w:jc w:val="center"/>
        <w:rPr>
          <w:b/>
          <w:color w:val="auto"/>
          <w:sz w:val="32"/>
          <w:szCs w:val="32"/>
          <w:highlight w:val="none"/>
        </w:rPr>
      </w:pPr>
    </w:p>
    <w:p w14:paraId="03E14D7E">
      <w:pPr>
        <w:jc w:val="center"/>
        <w:rPr>
          <w:b/>
          <w:color w:val="auto"/>
          <w:sz w:val="32"/>
          <w:szCs w:val="32"/>
          <w:highlight w:val="none"/>
        </w:rPr>
      </w:pPr>
    </w:p>
    <w:p w14:paraId="60BCBB70">
      <w:pPr>
        <w:jc w:val="center"/>
        <w:rPr>
          <w:b/>
          <w:color w:val="auto"/>
          <w:sz w:val="32"/>
          <w:szCs w:val="32"/>
          <w:highlight w:val="none"/>
        </w:rPr>
      </w:pPr>
    </w:p>
    <w:p w14:paraId="0841936B">
      <w:pPr>
        <w:jc w:val="center"/>
        <w:rPr>
          <w:b/>
          <w:color w:val="auto"/>
          <w:sz w:val="32"/>
          <w:szCs w:val="32"/>
          <w:highlight w:val="none"/>
        </w:rPr>
      </w:pPr>
    </w:p>
    <w:p w14:paraId="1C19EE91">
      <w:pPr>
        <w:spacing w:line="360" w:lineRule="auto"/>
        <w:rPr>
          <w:b/>
          <w:bCs/>
          <w:color w:val="auto"/>
          <w:sz w:val="32"/>
          <w:szCs w:val="32"/>
          <w:highlight w:val="none"/>
        </w:rPr>
      </w:pPr>
    </w:p>
    <w:p w14:paraId="485C1F31">
      <w:pPr>
        <w:jc w:val="center"/>
        <w:rPr>
          <w:rFonts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32"/>
          <w:szCs w:val="32"/>
          <w:highlight w:val="none"/>
        </w:rPr>
        <w:t>（1）投 标 函</w:t>
      </w:r>
    </w:p>
    <w:p w14:paraId="77B9915E">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highlight w:val="none"/>
        </w:rPr>
      </w:pPr>
      <w:bookmarkStart w:id="972" w:name="_Toc35425140"/>
      <w:bookmarkStart w:id="973" w:name="_Toc35424974"/>
      <w:bookmarkStart w:id="974" w:name="_Toc506107366"/>
      <w:bookmarkStart w:id="975" w:name="_Toc15058950"/>
      <w:r>
        <w:rPr>
          <w:rFonts w:hint="eastAsia" w:ascii="宋体" w:hAnsi="宋体" w:eastAsia="宋体" w:cs="宋体"/>
          <w:b/>
          <w:bCs/>
          <w:color w:val="auto"/>
          <w:highlight w:val="none"/>
        </w:rPr>
        <w:t>致 ：</w:t>
      </w:r>
      <w:r>
        <w:rPr>
          <w:rFonts w:hint="eastAsia" w:ascii="宋体" w:hAnsi="宋体" w:eastAsia="宋体" w:cs="宋体"/>
          <w:b/>
          <w:bCs/>
          <w:color w:val="auto"/>
          <w:highlight w:val="none"/>
          <w:u w:val="single"/>
          <w:lang w:val="en-US" w:eastAsia="zh-CN"/>
        </w:rPr>
        <w:t xml:space="preserve">     </w:t>
      </w:r>
      <w:r>
        <w:rPr>
          <w:rFonts w:hint="eastAsia" w:ascii="宋体" w:hAnsi="宋体" w:cs="宋体"/>
          <w:b/>
          <w:bCs/>
          <w:color w:val="auto"/>
          <w:highlight w:val="none"/>
          <w:u w:val="single"/>
          <w:lang w:val="en-US" w:eastAsia="zh-CN"/>
        </w:rPr>
        <w:t xml:space="preserve">       </w:t>
      </w:r>
      <w:r>
        <w:rPr>
          <w:rFonts w:hint="eastAsia" w:ascii="宋体" w:hAnsi="宋体" w:eastAsia="宋体" w:cs="宋体"/>
          <w:b/>
          <w:bCs/>
          <w:color w:val="auto"/>
          <w:highlight w:val="none"/>
          <w:u w:val="single"/>
          <w:lang w:val="en-US" w:eastAsia="zh-CN"/>
        </w:rPr>
        <w:t xml:space="preserve">  （招标人） </w:t>
      </w:r>
      <w:r>
        <w:rPr>
          <w:rFonts w:hint="eastAsia" w:ascii="宋体" w:hAnsi="宋体" w:eastAsia="宋体" w:cs="宋体"/>
          <w:color w:val="auto"/>
          <w:highlight w:val="none"/>
        </w:rPr>
        <w:t xml:space="preserve">  </w:t>
      </w:r>
    </w:p>
    <w:p w14:paraId="185304FD">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1、根据你方招标项目编号为</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的</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招标文件，遵照《中华人民共和国招标投标法》等有关规定，经踏勘项目现场和研究上述招标文件的投标须知、合同条件、技术规范、图纸、工程量清单和其他有关文件后，我方愿以</w:t>
      </w:r>
      <w:r>
        <w:rPr>
          <w:rFonts w:hint="eastAsia" w:ascii="宋体" w:hAnsi="宋体"/>
          <w:color w:val="auto"/>
          <w:szCs w:val="21"/>
          <w:highlight w:val="none"/>
          <w:u w:val="single"/>
          <w:lang w:val="en-US" w:eastAsia="zh-CN"/>
        </w:rPr>
        <w:t xml:space="preserve"> （币种、金额、单位）人民币（大写）        （小写）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元</w:t>
      </w:r>
      <w:r>
        <w:rPr>
          <w:rFonts w:hint="eastAsia" w:ascii="宋体" w:hAnsi="宋体"/>
          <w:color w:val="auto"/>
          <w:szCs w:val="21"/>
          <w:highlight w:val="none"/>
        </w:rPr>
        <w:t>的投标报价承包上述项目，并承担任何质量缺陷保修责任。</w:t>
      </w:r>
    </w:p>
    <w:p w14:paraId="3C73638A">
      <w:pPr>
        <w:numPr>
          <w:ilvl w:val="0"/>
          <w:numId w:val="5"/>
        </w:numPr>
        <w:spacing w:line="440" w:lineRule="exact"/>
        <w:ind w:left="0" w:firstLine="404" w:firstLineChars="200"/>
        <w:jc w:val="left"/>
        <w:rPr>
          <w:rFonts w:ascii="宋体" w:hAnsi="宋体"/>
          <w:color w:val="auto"/>
          <w:spacing w:val="-4"/>
          <w:szCs w:val="21"/>
          <w:highlight w:val="none"/>
        </w:rPr>
      </w:pPr>
      <w:r>
        <w:rPr>
          <w:rFonts w:hint="eastAsia" w:ascii="宋体" w:hAnsi="宋体"/>
          <w:color w:val="auto"/>
          <w:spacing w:val="-4"/>
          <w:szCs w:val="21"/>
          <w:highlight w:val="none"/>
        </w:rPr>
        <w:t>我方已详细审核全部招标文件及有关附件，承诺招标文件及有关附件中所有条款。</w:t>
      </w:r>
    </w:p>
    <w:p w14:paraId="437A755A">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3、一旦我方中标，我方将派出</w:t>
      </w:r>
      <w:r>
        <w:rPr>
          <w:rFonts w:hint="eastAsia" w:ascii="宋体" w:hAnsi="宋体"/>
          <w:color w:val="auto"/>
          <w:szCs w:val="21"/>
          <w:highlight w:val="none"/>
          <w:u w:val="single"/>
        </w:rPr>
        <w:t xml:space="preserve">      </w:t>
      </w:r>
      <w:r>
        <w:rPr>
          <w:rFonts w:hint="eastAsia" w:ascii="宋体" w:hAnsi="宋体"/>
          <w:color w:val="auto"/>
          <w:szCs w:val="21"/>
          <w:highlight w:val="none"/>
        </w:rPr>
        <w:t>建造师为本项目的项目</w:t>
      </w:r>
      <w:r>
        <w:rPr>
          <w:rFonts w:hint="eastAsia" w:ascii="宋体" w:hAnsi="宋体"/>
          <w:color w:val="auto"/>
          <w:szCs w:val="21"/>
          <w:highlight w:val="none"/>
          <w:lang w:val="en-US" w:eastAsia="zh-CN"/>
        </w:rPr>
        <w:t>经理</w:t>
      </w:r>
      <w:r>
        <w:rPr>
          <w:rFonts w:hint="eastAsia" w:ascii="宋体" w:hAnsi="宋体"/>
          <w:color w:val="auto"/>
          <w:szCs w:val="21"/>
          <w:highlight w:val="none"/>
        </w:rPr>
        <w:t>，保证按照招标人要求开始实施本项目，并在</w:t>
      </w:r>
      <w:r>
        <w:rPr>
          <w:rFonts w:hint="eastAsia" w:ascii="宋体" w:hAnsi="宋体"/>
          <w:color w:val="auto"/>
          <w:szCs w:val="21"/>
          <w:highlight w:val="none"/>
          <w:u w:val="single"/>
        </w:rPr>
        <w:t xml:space="preserve">      </w:t>
      </w:r>
      <w:r>
        <w:rPr>
          <w:rFonts w:hint="eastAsia" w:ascii="宋体" w:hAnsi="宋体"/>
          <w:color w:val="auto"/>
          <w:szCs w:val="21"/>
          <w:highlight w:val="none"/>
        </w:rPr>
        <w:t>个日历天（工期）内完成本合同的施工，并移交整个项目，项目质量达到</w:t>
      </w:r>
      <w:r>
        <w:rPr>
          <w:rFonts w:ascii="宋体" w:hAnsi="宋体"/>
          <w:color w:val="auto"/>
          <w:szCs w:val="21"/>
          <w:highlight w:val="none"/>
          <w:u w:val="single"/>
        </w:rPr>
        <w:t xml:space="preserve">   </w:t>
      </w:r>
      <w:r>
        <w:rPr>
          <w:rFonts w:hint="eastAsia" w:ascii="宋体" w:hAnsi="宋体"/>
          <w:color w:val="auto"/>
          <w:szCs w:val="21"/>
          <w:highlight w:val="none"/>
          <w:u w:val="single"/>
        </w:rPr>
        <w:t>合格</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标准。</w:t>
      </w:r>
    </w:p>
    <w:p w14:paraId="73111601">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4、随本投标书，我方同时按照招标文件的要求提交投标保证金。如果我方在本投标书有效期内撤回投标书，或在中标通知书下达后</w:t>
      </w:r>
      <w:r>
        <w:rPr>
          <w:rFonts w:ascii="宋体" w:hAnsi="宋体"/>
          <w:color w:val="auto"/>
          <w:szCs w:val="21"/>
          <w:highlight w:val="none"/>
          <w:u w:val="single"/>
        </w:rPr>
        <w:t xml:space="preserve">  </w:t>
      </w:r>
      <w:r>
        <w:rPr>
          <w:rFonts w:hint="eastAsia" w:ascii="宋体" w:hAnsi="宋体"/>
          <w:color w:val="auto"/>
          <w:szCs w:val="21"/>
          <w:highlight w:val="none"/>
          <w:u w:val="single"/>
        </w:rPr>
        <w:t>30</w:t>
      </w:r>
      <w:r>
        <w:rPr>
          <w:rFonts w:ascii="宋体" w:hAnsi="宋体"/>
          <w:color w:val="auto"/>
          <w:szCs w:val="21"/>
          <w:highlight w:val="none"/>
          <w:u w:val="single"/>
        </w:rPr>
        <w:t xml:space="preserve"> </w:t>
      </w:r>
      <w:r>
        <w:rPr>
          <w:rFonts w:hint="eastAsia" w:ascii="宋体" w:hAnsi="宋体"/>
          <w:color w:val="auto"/>
          <w:szCs w:val="21"/>
          <w:highlight w:val="none"/>
        </w:rPr>
        <w:t>天内未能或拒绝签订合同书，或自行转标，贵单位有权没收投标保证金，并另选中标单位。</w:t>
      </w:r>
    </w:p>
    <w:p w14:paraId="4FE3D8A8">
      <w:pPr>
        <w:spacing w:line="4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5、如果我方中标我方将按照招标文件的规定提交履约担保。项目验收合格后，方可退还。</w:t>
      </w:r>
    </w:p>
    <w:p w14:paraId="3ADCEB84">
      <w:pPr>
        <w:spacing w:line="4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6、投标有效期为</w:t>
      </w:r>
      <w:r>
        <w:rPr>
          <w:rFonts w:hint="eastAsia" w:ascii="宋体" w:hAnsi="宋体"/>
          <w:color w:val="auto"/>
          <w:szCs w:val="21"/>
          <w:highlight w:val="none"/>
          <w:u w:val="single"/>
        </w:rPr>
        <w:t xml:space="preserve"> 90</w:t>
      </w:r>
      <w:r>
        <w:rPr>
          <w:rFonts w:hint="eastAsia" w:ascii="宋体" w:hAnsi="宋体"/>
          <w:color w:val="auto"/>
          <w:szCs w:val="21"/>
          <w:highlight w:val="none"/>
        </w:rPr>
        <w:t>日历天（从投标截止之日算起）。</w:t>
      </w:r>
    </w:p>
    <w:p w14:paraId="515F61EA">
      <w:pPr>
        <w:spacing w:line="4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7、我单位提供如下通讯地址：</w:t>
      </w:r>
      <w:r>
        <w:rPr>
          <w:rFonts w:hint="eastAsia" w:ascii="宋体" w:hAnsi="宋体"/>
          <w:color w:val="auto"/>
          <w:szCs w:val="21"/>
          <w:highlight w:val="none"/>
          <w:u w:val="single"/>
        </w:rPr>
        <w:t xml:space="preserve">                </w:t>
      </w:r>
      <w:r>
        <w:rPr>
          <w:rFonts w:hint="eastAsia" w:ascii="宋体" w:hAnsi="宋体"/>
          <w:color w:val="auto"/>
          <w:szCs w:val="21"/>
          <w:highlight w:val="none"/>
        </w:rPr>
        <w:t>电子邮箱（地址），确认本项目相关法律文书均通过提供的以上地址送达，相关文书只要发送至以上电子邮箱（地址）即视为送达，投标人愿意承担一切法律后果。</w:t>
      </w:r>
    </w:p>
    <w:p w14:paraId="34DEE729">
      <w:pPr>
        <w:spacing w:line="600" w:lineRule="exact"/>
        <w:ind w:firstLine="420" w:firstLineChars="200"/>
        <w:jc w:val="left"/>
        <w:rPr>
          <w:rFonts w:hint="eastAsia" w:ascii="宋体" w:hAnsi="宋体"/>
          <w:color w:val="auto"/>
          <w:szCs w:val="21"/>
          <w:highlight w:val="none"/>
        </w:rPr>
      </w:pPr>
    </w:p>
    <w:p w14:paraId="6CDE313A">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p>
    <w:p w14:paraId="2EB69048">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盖</w:t>
      </w:r>
      <w:r>
        <w:rPr>
          <w:rFonts w:hint="eastAsia" w:ascii="宋体" w:hAnsi="宋体" w:eastAsia="宋体" w:cs="宋体"/>
          <w:color w:val="auto"/>
          <w:szCs w:val="21"/>
          <w:highlight w:val="none"/>
          <w:u w:val="single"/>
        </w:rPr>
        <w:t xml:space="preserve">章）   </w:t>
      </w:r>
    </w:p>
    <w:p w14:paraId="2E7655CB">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（签</w:t>
      </w:r>
      <w:r>
        <w:rPr>
          <w:rFonts w:hint="eastAsia" w:ascii="宋体" w:hAnsi="宋体" w:cs="宋体"/>
          <w:color w:val="auto"/>
          <w:szCs w:val="21"/>
          <w:highlight w:val="none"/>
          <w:u w:val="single"/>
          <w:lang w:val="en-US" w:eastAsia="zh-CN"/>
        </w:rPr>
        <w:t>字或盖</w:t>
      </w:r>
      <w:r>
        <w:rPr>
          <w:rFonts w:hint="eastAsia" w:ascii="宋体" w:hAnsi="宋体" w:eastAsia="宋体" w:cs="宋体"/>
          <w:color w:val="auto"/>
          <w:szCs w:val="21"/>
          <w:highlight w:val="none"/>
          <w:u w:val="single"/>
        </w:rPr>
        <w:t>章）</w:t>
      </w:r>
    </w:p>
    <w:p w14:paraId="1D3B5338">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u w:val="single"/>
        </w:rPr>
        <w:t xml:space="preserve">                                       </w:t>
      </w:r>
    </w:p>
    <w:p w14:paraId="1BF3A471">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p>
    <w:p w14:paraId="360B1957">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E9E3BBC">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p>
    <w:p w14:paraId="789E987E">
      <w:pPr>
        <w:keepNext w:val="0"/>
        <w:keepLines w:val="0"/>
        <w:pageBreakBefore w:val="0"/>
        <w:widowControl w:val="0"/>
        <w:kinsoku/>
        <w:wordWrap/>
        <w:overflowPunct/>
        <w:topLinePunct w:val="0"/>
        <w:autoSpaceDE/>
        <w:autoSpaceDN/>
        <w:bidi w:val="0"/>
        <w:adjustRightInd/>
        <w:snapToGrid/>
        <w:spacing w:line="460" w:lineRule="exact"/>
        <w:ind w:firstLine="2310" w:firstLineChars="1100"/>
        <w:jc w:val="left"/>
        <w:textAlignment w:val="auto"/>
        <w:rPr>
          <w:rFonts w:hint="eastAsia" w:ascii="宋体" w:hAnsi="宋体" w:eastAsia="宋体" w:cs="宋体"/>
          <w:color w:val="auto"/>
          <w:szCs w:val="21"/>
          <w:highlight w:val="none"/>
        </w:rPr>
      </w:pPr>
    </w:p>
    <w:p w14:paraId="5EA5C610">
      <w:pP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br w:type="page"/>
      </w:r>
    </w:p>
    <w:p w14:paraId="63B95021">
      <w:pPr>
        <w:pStyle w:val="8"/>
        <w:widowControl/>
        <w:adjustRightInd w:val="0"/>
        <w:snapToGrid w:val="0"/>
        <w:spacing w:before="0" w:beforeAutospacing="0" w:after="0" w:afterAutospacing="0" w:line="560" w:lineRule="exact"/>
        <w:jc w:val="cente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w:t>
      </w:r>
      <w:r>
        <w:rPr>
          <w:rFonts w:hint="default" w:ascii="Times New Roman" w:hAnsi="Times New Roman" w:eastAsia="宋体" w:cs="Times New Roman"/>
          <w:b/>
          <w:bCs/>
          <w:color w:val="auto"/>
          <w:kern w:val="0"/>
          <w:sz w:val="32"/>
          <w:szCs w:val="32"/>
          <w:highlight w:val="none"/>
        </w:rPr>
        <w:t>2</w:t>
      </w:r>
      <w:r>
        <w:rPr>
          <w:rFonts w:hint="eastAsia" w:ascii="宋体" w:hAnsi="宋体" w:eastAsia="宋体" w:cs="宋体"/>
          <w:b/>
          <w:bCs/>
          <w:color w:val="auto"/>
          <w:kern w:val="0"/>
          <w:sz w:val="32"/>
          <w:szCs w:val="32"/>
          <w:highlight w:val="none"/>
        </w:rPr>
        <w:t>）工程量清单报价书</w:t>
      </w:r>
    </w:p>
    <w:p w14:paraId="302A0ED9">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b/>
          <w:bCs/>
          <w:color w:val="auto"/>
          <w:kern w:val="2"/>
          <w:sz w:val="32"/>
          <w:szCs w:val="32"/>
          <w:highlight w:val="none"/>
          <w:u w:val="single"/>
        </w:rPr>
      </w:pPr>
    </w:p>
    <w:p w14:paraId="68DCDB94">
      <w:pPr>
        <w:keepNext w:val="0"/>
        <w:keepLines w:val="0"/>
        <w:widowControl w:val="0"/>
        <w:suppressLineNumbers w:val="0"/>
        <w:adjustRightInd w:val="0"/>
        <w:snapToGrid w:val="0"/>
        <w:spacing w:before="0" w:beforeAutospacing="0" w:after="0" w:afterAutospacing="0" w:line="560" w:lineRule="exact"/>
        <w:ind w:left="0" w:right="0" w:firstLine="480" w:firstLineChars="200"/>
        <w:jc w:val="both"/>
        <w:rPr>
          <w:rFonts w:hint="eastAsia" w:ascii="宋体" w:hAnsi="宋体" w:eastAsia="宋体" w:cs="宋体"/>
          <w:bCs/>
          <w:color w:val="auto"/>
          <w:kern w:val="2"/>
          <w:sz w:val="24"/>
          <w:szCs w:val="24"/>
          <w:highlight w:val="none"/>
          <w:u w:val="single"/>
        </w:rPr>
      </w:pPr>
      <w:r>
        <w:rPr>
          <w:rFonts w:hint="eastAsia" w:ascii="宋体" w:hAnsi="宋体" w:eastAsia="宋体" w:cs="宋体"/>
          <w:bCs/>
          <w:color w:val="auto"/>
          <w:kern w:val="2"/>
          <w:sz w:val="24"/>
          <w:szCs w:val="24"/>
          <w:highlight w:val="none"/>
          <w:u w:val="single"/>
          <w:lang w:val="en-US" w:eastAsia="zh-CN" w:bidi="ar"/>
        </w:rPr>
        <w:t>工程量清单报价书格式：见2018版“工程量清单计价文件”格式</w:t>
      </w:r>
    </w:p>
    <w:p w14:paraId="5FADC2FD">
      <w:pPr>
        <w:pStyle w:val="42"/>
        <w:keepNext w:val="0"/>
        <w:keepLines w:val="0"/>
        <w:widowControl w:val="0"/>
        <w:suppressLineNumbers w:val="0"/>
        <w:spacing w:before="0" w:beforeAutospacing="1" w:after="120" w:afterLines="0" w:afterAutospacing="0"/>
        <w:ind w:left="420" w:leftChars="200" w:right="0" w:firstLine="420" w:firstLineChars="200"/>
        <w:jc w:val="both"/>
        <w:rPr>
          <w:rFonts w:hint="eastAsia" w:ascii="Times New Roman" w:hAnsi="Times New Roman" w:eastAsia="宋体" w:cs="Times New Roman"/>
          <w:color w:val="auto"/>
          <w:kern w:val="2"/>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 xml:space="preserve"> </w:t>
      </w:r>
    </w:p>
    <w:p w14:paraId="4EA7FB33">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r>
        <w:rPr>
          <w:rFonts w:hint="eastAsia" w:ascii="Times New Roman" w:hAnsi="Times New Roman" w:eastAsia="宋体" w:cs="Times New Roman"/>
          <w:color w:val="auto"/>
          <w:kern w:val="2"/>
          <w:sz w:val="21"/>
          <w:szCs w:val="21"/>
          <w:highlight w:val="none"/>
          <w:lang w:val="en-US" w:eastAsia="zh-CN" w:bidi="ar"/>
        </w:rPr>
        <w:t xml:space="preserve">  </w:t>
      </w:r>
    </w:p>
    <w:p w14:paraId="05D1C876">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r>
        <w:rPr>
          <w:rFonts w:hint="eastAsia" w:ascii="Times New Roman" w:hAnsi="Times New Roman" w:eastAsia="宋体" w:cs="Times New Roman"/>
          <w:color w:val="auto"/>
          <w:kern w:val="2"/>
          <w:sz w:val="21"/>
          <w:szCs w:val="21"/>
          <w:highlight w:val="none"/>
          <w:lang w:val="en-US" w:eastAsia="zh-CN" w:bidi="ar"/>
        </w:rPr>
        <w:t xml:space="preserve"> </w:t>
      </w:r>
    </w:p>
    <w:p w14:paraId="1DA3F6D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2A30B572">
      <w:pPr>
        <w:pStyle w:val="42"/>
        <w:keepNext w:val="0"/>
        <w:keepLines w:val="0"/>
        <w:widowControl w:val="0"/>
        <w:suppressLineNumbers w:val="0"/>
        <w:spacing w:before="0" w:beforeAutospacing="1" w:after="120" w:afterLines="0" w:afterAutospacing="0"/>
        <w:ind w:left="420" w:leftChars="200" w:right="0" w:firstLine="420" w:firstLineChars="200"/>
        <w:jc w:val="both"/>
        <w:rPr>
          <w:rFonts w:hint="eastAsia" w:ascii="Times New Roman" w:hAnsi="Times New Roman" w:eastAsia="宋体" w:cs="Times New Roman"/>
          <w:color w:val="auto"/>
          <w:kern w:val="2"/>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 xml:space="preserve"> </w:t>
      </w:r>
    </w:p>
    <w:p w14:paraId="1F2C57A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p w14:paraId="09479086">
      <w:pPr>
        <w:pStyle w:val="8"/>
        <w:pageBreakBefore/>
        <w:widowControl/>
        <w:adjustRightInd w:val="0"/>
        <w:snapToGrid w:val="0"/>
        <w:spacing w:before="0" w:beforeAutospacing="0" w:after="0" w:afterAutospacing="0" w:line="560" w:lineRule="exact"/>
        <w:jc w:val="cente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w:t>
      </w:r>
      <w:r>
        <w:rPr>
          <w:rFonts w:hint="default" w:ascii="Times New Roman" w:hAnsi="Times New Roman" w:eastAsia="宋体" w:cs="Times New Roman"/>
          <w:b/>
          <w:bCs/>
          <w:color w:val="auto"/>
          <w:kern w:val="0"/>
          <w:sz w:val="32"/>
          <w:szCs w:val="32"/>
          <w:highlight w:val="none"/>
        </w:rPr>
        <w:t>3</w:t>
      </w:r>
      <w:r>
        <w:rPr>
          <w:rFonts w:hint="eastAsia" w:ascii="宋体" w:hAnsi="宋体" w:eastAsia="宋体" w:cs="宋体"/>
          <w:b/>
          <w:bCs/>
          <w:color w:val="auto"/>
          <w:kern w:val="0"/>
          <w:sz w:val="32"/>
          <w:szCs w:val="32"/>
          <w:highlight w:val="none"/>
        </w:rPr>
        <w:t>）推荐的材料品牌响应表</w:t>
      </w:r>
    </w:p>
    <w:p w14:paraId="13FC4BEF">
      <w:pPr>
        <w:pStyle w:val="42"/>
        <w:keepNext w:val="0"/>
        <w:keepLines w:val="0"/>
        <w:widowControl w:val="0"/>
        <w:suppressLineNumbers w:val="0"/>
        <w:adjustRightInd w:val="0"/>
        <w:snapToGrid w:val="0"/>
        <w:spacing w:before="0" w:beforeAutospacing="1" w:after="0" w:afterLines="0" w:afterAutospacing="0" w:line="560" w:lineRule="exact"/>
        <w:ind w:left="0" w:right="0"/>
        <w:jc w:val="center"/>
        <w:rPr>
          <w:rFonts w:hint="default"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bidi="ar"/>
        </w:rPr>
        <w:t>工程</w:t>
      </w:r>
      <w:r>
        <w:rPr>
          <w:rFonts w:hint="eastAsia" w:ascii="宋体" w:hAnsi="宋体" w:eastAsia="宋体" w:cs="宋体"/>
          <w:color w:val="auto"/>
          <w:spacing w:val="-3"/>
          <w:kern w:val="2"/>
          <w:sz w:val="21"/>
          <w:szCs w:val="21"/>
          <w:highlight w:val="none"/>
          <w:lang w:val="en-US" w:eastAsia="zh-CN" w:bidi="ar"/>
        </w:rPr>
        <w:t>名</w:t>
      </w:r>
      <w:r>
        <w:rPr>
          <w:rFonts w:hint="eastAsia" w:ascii="宋体" w:hAnsi="宋体" w:eastAsia="宋体" w:cs="宋体"/>
          <w:color w:val="auto"/>
          <w:kern w:val="2"/>
          <w:sz w:val="21"/>
          <w:szCs w:val="21"/>
          <w:highlight w:val="none"/>
          <w:lang w:val="en-US" w:eastAsia="zh-CN" w:bidi="ar"/>
        </w:rPr>
        <w:t xml:space="preserve">称：                              </w:t>
      </w:r>
      <w:r>
        <w:rPr>
          <w:rFonts w:hint="eastAsia" w:ascii="宋体" w:hAnsi="宋体" w:eastAsia="宋体" w:cs="宋体"/>
          <w:color w:val="auto"/>
          <w:kern w:val="2"/>
          <w:sz w:val="21"/>
          <w:szCs w:val="21"/>
          <w:highlight w:val="none"/>
          <w:lang w:val="en-US" w:eastAsia="zh-CN" w:bidi="ar"/>
        </w:rPr>
        <w:tab/>
      </w:r>
      <w:r>
        <w:rPr>
          <w:rFonts w:hint="eastAsia" w:ascii="宋体" w:hAnsi="宋体" w:eastAsia="宋体" w:cs="宋体"/>
          <w:color w:val="auto"/>
          <w:kern w:val="2"/>
          <w:sz w:val="21"/>
          <w:szCs w:val="21"/>
          <w:highlight w:val="none"/>
          <w:lang w:val="en-US" w:eastAsia="zh-CN" w:bidi="ar"/>
        </w:rPr>
        <w:t>第</w:t>
      </w:r>
      <w:r>
        <w:rPr>
          <w:rFonts w:hint="eastAsia" w:ascii="宋体" w:hAnsi="宋体" w:eastAsia="宋体" w:cs="宋体"/>
          <w:color w:val="auto"/>
          <w:kern w:val="2"/>
          <w:sz w:val="21"/>
          <w:szCs w:val="21"/>
          <w:highlight w:val="none"/>
          <w:lang w:val="en-US" w:eastAsia="zh-CN" w:bidi="ar"/>
        </w:rPr>
        <w:tab/>
      </w:r>
      <w:r>
        <w:rPr>
          <w:rFonts w:hint="eastAsia" w:ascii="宋体" w:hAnsi="宋体" w:eastAsia="宋体" w:cs="宋体"/>
          <w:color w:val="auto"/>
          <w:spacing w:val="-3"/>
          <w:kern w:val="2"/>
          <w:sz w:val="21"/>
          <w:szCs w:val="21"/>
          <w:highlight w:val="none"/>
          <w:lang w:val="en-US" w:eastAsia="zh-CN" w:bidi="ar"/>
        </w:rPr>
        <w:t>页</w:t>
      </w:r>
      <w:r>
        <w:rPr>
          <w:rFonts w:hint="eastAsia" w:ascii="宋体" w:hAnsi="宋体" w:eastAsia="宋体" w:cs="宋体"/>
          <w:color w:val="auto"/>
          <w:kern w:val="2"/>
          <w:sz w:val="21"/>
          <w:szCs w:val="21"/>
          <w:highlight w:val="none"/>
          <w:lang w:val="en-US" w:eastAsia="zh-CN" w:bidi="ar"/>
        </w:rPr>
        <w:t xml:space="preserve">共 </w:t>
      </w:r>
      <w:r>
        <w:rPr>
          <w:rFonts w:hint="eastAsia" w:ascii="宋体" w:hAnsi="宋体" w:eastAsia="宋体" w:cs="宋体"/>
          <w:color w:val="auto"/>
          <w:kern w:val="2"/>
          <w:sz w:val="21"/>
          <w:szCs w:val="21"/>
          <w:highlight w:val="none"/>
          <w:lang w:val="en-US" w:eastAsia="zh-CN" w:bidi="ar"/>
        </w:rPr>
        <w:tab/>
      </w:r>
      <w:r>
        <w:rPr>
          <w:rFonts w:hint="eastAsia" w:ascii="宋体" w:hAnsi="宋体" w:eastAsia="宋体" w:cs="宋体"/>
          <w:color w:val="auto"/>
          <w:kern w:val="2"/>
          <w:sz w:val="21"/>
          <w:szCs w:val="21"/>
          <w:highlight w:val="none"/>
          <w:lang w:val="en-US" w:eastAsia="zh-CN" w:bidi="ar"/>
        </w:rPr>
        <w:t xml:space="preserve">页 </w:t>
      </w:r>
    </w:p>
    <w:p w14:paraId="4F365D36">
      <w:pPr>
        <w:pStyle w:val="42"/>
        <w:keepNext w:val="0"/>
        <w:keepLines w:val="0"/>
        <w:widowControl w:val="0"/>
        <w:suppressLineNumbers w:val="0"/>
        <w:adjustRightInd w:val="0"/>
        <w:snapToGrid w:val="0"/>
        <w:spacing w:before="0" w:beforeAutospacing="1" w:after="0" w:afterLines="0" w:afterAutospacing="0" w:line="560" w:lineRule="exact"/>
        <w:ind w:left="0" w:right="0"/>
        <w:jc w:val="center"/>
        <w:rPr>
          <w:rFonts w:hint="eastAsia" w:ascii="宋体" w:hAnsi="宋体" w:eastAsia="宋体" w:cs="宋体"/>
          <w:b/>
          <w:bCs w:val="0"/>
          <w:color w:val="auto"/>
          <w:kern w:val="2"/>
          <w:sz w:val="28"/>
          <w:szCs w:val="28"/>
          <w:highlight w:val="none"/>
        </w:rPr>
      </w:pPr>
      <w:r>
        <w:rPr>
          <w:rFonts w:hint="eastAsia" w:ascii="宋体" w:hAnsi="宋体" w:eastAsia="宋体" w:cs="宋体"/>
          <w:b/>
          <w:bCs w:val="0"/>
          <w:color w:val="auto"/>
          <w:kern w:val="2"/>
          <w:sz w:val="28"/>
          <w:szCs w:val="28"/>
          <w:highlight w:val="none"/>
          <w:lang w:val="en-US" w:eastAsia="zh-CN" w:bidi="ar"/>
        </w:rPr>
        <w:t>品牌推荐表（如要求）</w:t>
      </w:r>
    </w:p>
    <w:tbl>
      <w:tblPr>
        <w:tblStyle w:val="46"/>
        <w:tblW w:w="78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36"/>
        <w:gridCol w:w="1685"/>
        <w:gridCol w:w="794"/>
        <w:gridCol w:w="794"/>
        <w:gridCol w:w="794"/>
        <w:gridCol w:w="791"/>
        <w:gridCol w:w="635"/>
        <w:gridCol w:w="1687"/>
      </w:tblGrid>
      <w:tr w14:paraId="6BF0C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0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643EE191">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序号</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4E571DC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材料、设备名称</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4ABE43B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品牌 1</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16DEB31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品牌 2</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30E4A380">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品牌 3</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7891290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品牌 4</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63507FAE">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备注</w:t>
            </w: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47FA635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投标人选定品牌</w:t>
            </w:r>
          </w:p>
        </w:tc>
      </w:tr>
      <w:tr w14:paraId="7EDDB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73802CE9">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02C5B415">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8F590F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0AB4FFE5">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2615139D">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70279729">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4B4B88EA">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0A15681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72562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0188BC45">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2FFF3953">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7D598EAC">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8F46AF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65255C8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242CA38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2CD3C7C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2876771C">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129AB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jc w:val="center"/>
        </w:trPr>
        <w:tc>
          <w:tcPr>
            <w:tcW w:w="636" w:type="dxa"/>
            <w:tcBorders>
              <w:top w:val="single" w:color="000000" w:sz="4" w:space="0"/>
              <w:left w:val="single" w:color="000000" w:sz="4" w:space="0"/>
              <w:bottom w:val="single" w:color="000000" w:sz="6" w:space="0"/>
              <w:right w:val="single" w:color="000000" w:sz="4" w:space="0"/>
            </w:tcBorders>
            <w:shd w:val="clear" w:color="auto" w:fill="auto"/>
            <w:vAlign w:val="top"/>
          </w:tcPr>
          <w:p w14:paraId="6E89A97E">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w:t>
            </w:r>
          </w:p>
        </w:tc>
        <w:tc>
          <w:tcPr>
            <w:tcW w:w="1685" w:type="dxa"/>
            <w:tcBorders>
              <w:top w:val="single" w:color="000000" w:sz="4" w:space="0"/>
              <w:left w:val="single" w:color="000000" w:sz="4" w:space="0"/>
              <w:bottom w:val="single" w:color="000000" w:sz="6" w:space="0"/>
              <w:right w:val="single" w:color="000000" w:sz="4" w:space="0"/>
            </w:tcBorders>
            <w:shd w:val="clear" w:color="auto" w:fill="auto"/>
            <w:vAlign w:val="top"/>
          </w:tcPr>
          <w:p w14:paraId="7D16FB86">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6" w:space="0"/>
              <w:right w:val="single" w:color="000000" w:sz="4" w:space="0"/>
            </w:tcBorders>
            <w:shd w:val="clear" w:color="auto" w:fill="auto"/>
            <w:vAlign w:val="top"/>
          </w:tcPr>
          <w:p w14:paraId="00601096">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6" w:space="0"/>
              <w:right w:val="single" w:color="000000" w:sz="4" w:space="0"/>
            </w:tcBorders>
            <w:shd w:val="clear" w:color="auto" w:fill="auto"/>
            <w:vAlign w:val="top"/>
          </w:tcPr>
          <w:p w14:paraId="69BFB40D">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6" w:space="0"/>
              <w:right w:val="single" w:color="000000" w:sz="4" w:space="0"/>
            </w:tcBorders>
            <w:shd w:val="clear" w:color="auto" w:fill="auto"/>
            <w:vAlign w:val="top"/>
          </w:tcPr>
          <w:p w14:paraId="494BFCB9">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6" w:space="0"/>
              <w:right w:val="single" w:color="000000" w:sz="4" w:space="0"/>
            </w:tcBorders>
            <w:shd w:val="clear" w:color="auto" w:fill="auto"/>
            <w:vAlign w:val="top"/>
          </w:tcPr>
          <w:p w14:paraId="645AA3D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6" w:space="0"/>
              <w:right w:val="single" w:color="000000" w:sz="4" w:space="0"/>
            </w:tcBorders>
            <w:shd w:val="clear" w:color="auto" w:fill="auto"/>
            <w:vAlign w:val="top"/>
          </w:tcPr>
          <w:p w14:paraId="060C048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6" w:space="0"/>
              <w:right w:val="single" w:color="000000" w:sz="4" w:space="0"/>
            </w:tcBorders>
            <w:shd w:val="clear" w:color="auto" w:fill="auto"/>
            <w:vAlign w:val="top"/>
          </w:tcPr>
          <w:p w14:paraId="31D781E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3695F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84" w:hRule="atLeast"/>
          <w:jc w:val="center"/>
        </w:trPr>
        <w:tc>
          <w:tcPr>
            <w:tcW w:w="636" w:type="dxa"/>
            <w:tcBorders>
              <w:top w:val="single" w:color="000000" w:sz="6" w:space="0"/>
              <w:left w:val="single" w:color="000000" w:sz="4" w:space="0"/>
              <w:bottom w:val="single" w:color="000000" w:sz="4" w:space="0"/>
              <w:right w:val="single" w:color="000000" w:sz="4" w:space="0"/>
            </w:tcBorders>
            <w:shd w:val="clear" w:color="auto" w:fill="auto"/>
            <w:vAlign w:val="top"/>
          </w:tcPr>
          <w:p w14:paraId="258EF1E1">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w:t>
            </w:r>
          </w:p>
        </w:tc>
        <w:tc>
          <w:tcPr>
            <w:tcW w:w="1685" w:type="dxa"/>
            <w:tcBorders>
              <w:top w:val="single" w:color="000000" w:sz="6" w:space="0"/>
              <w:left w:val="single" w:color="000000" w:sz="4" w:space="0"/>
              <w:bottom w:val="single" w:color="000000" w:sz="4" w:space="0"/>
              <w:right w:val="single" w:color="000000" w:sz="4" w:space="0"/>
            </w:tcBorders>
            <w:shd w:val="clear" w:color="auto" w:fill="auto"/>
            <w:vAlign w:val="top"/>
          </w:tcPr>
          <w:p w14:paraId="6ED0C57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6" w:space="0"/>
              <w:left w:val="single" w:color="000000" w:sz="4" w:space="0"/>
              <w:bottom w:val="single" w:color="000000" w:sz="4" w:space="0"/>
              <w:right w:val="single" w:color="000000" w:sz="4" w:space="0"/>
            </w:tcBorders>
            <w:shd w:val="clear" w:color="auto" w:fill="auto"/>
            <w:vAlign w:val="top"/>
          </w:tcPr>
          <w:p w14:paraId="5446EB06">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6" w:space="0"/>
              <w:left w:val="single" w:color="000000" w:sz="4" w:space="0"/>
              <w:bottom w:val="single" w:color="000000" w:sz="4" w:space="0"/>
              <w:right w:val="single" w:color="000000" w:sz="4" w:space="0"/>
            </w:tcBorders>
            <w:shd w:val="clear" w:color="auto" w:fill="auto"/>
            <w:vAlign w:val="top"/>
          </w:tcPr>
          <w:p w14:paraId="03B19E65">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6" w:space="0"/>
              <w:left w:val="single" w:color="000000" w:sz="4" w:space="0"/>
              <w:bottom w:val="single" w:color="000000" w:sz="4" w:space="0"/>
              <w:right w:val="single" w:color="000000" w:sz="4" w:space="0"/>
            </w:tcBorders>
            <w:shd w:val="clear" w:color="auto" w:fill="auto"/>
            <w:vAlign w:val="top"/>
          </w:tcPr>
          <w:p w14:paraId="5335311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6" w:space="0"/>
              <w:left w:val="single" w:color="000000" w:sz="4" w:space="0"/>
              <w:bottom w:val="single" w:color="000000" w:sz="4" w:space="0"/>
              <w:right w:val="single" w:color="000000" w:sz="4" w:space="0"/>
            </w:tcBorders>
            <w:shd w:val="clear" w:color="auto" w:fill="auto"/>
            <w:vAlign w:val="top"/>
          </w:tcPr>
          <w:p w14:paraId="65CC1E5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6" w:space="0"/>
              <w:left w:val="single" w:color="000000" w:sz="4" w:space="0"/>
              <w:bottom w:val="single" w:color="000000" w:sz="4" w:space="0"/>
              <w:right w:val="single" w:color="000000" w:sz="4" w:space="0"/>
            </w:tcBorders>
            <w:shd w:val="clear" w:color="auto" w:fill="auto"/>
            <w:vAlign w:val="top"/>
          </w:tcPr>
          <w:p w14:paraId="66F7FF16">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6" w:space="0"/>
              <w:left w:val="single" w:color="000000" w:sz="4" w:space="0"/>
              <w:bottom w:val="single" w:color="000000" w:sz="4" w:space="0"/>
              <w:right w:val="single" w:color="000000" w:sz="4" w:space="0"/>
            </w:tcBorders>
            <w:shd w:val="clear" w:color="auto" w:fill="auto"/>
            <w:vAlign w:val="top"/>
          </w:tcPr>
          <w:p w14:paraId="21B5CE3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68DC6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5291DF36">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5FA2345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52C281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51FD7F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1EFB93E">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38F5B4E7">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316E8EB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7D51A2C3">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7FEC8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38480B21">
            <w:pPr>
              <w:pStyle w:val="42"/>
              <w:keepNext w:val="0"/>
              <w:keepLines w:val="0"/>
              <w:widowControl w:val="0"/>
              <w:suppressLineNumbers w:val="0"/>
              <w:adjustRightInd w:val="0"/>
              <w:snapToGrid w:val="0"/>
              <w:spacing w:before="0" w:beforeAutospacing="0" w:after="0" w:afterAutospacing="0" w:line="560" w:lineRule="exact"/>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6</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7B11757B">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302858C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1BBAB979">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54E2343A">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3C113B9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27926D55">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01F17A6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2057E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125223E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271E7CA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44EAB2BE">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3C9BAE9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34ECB923">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73BE8B9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4360ED2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2C5CC9E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r w14:paraId="142E2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top"/>
          </w:tcPr>
          <w:p w14:paraId="4321E318">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top"/>
          </w:tcPr>
          <w:p w14:paraId="338BD2E9">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6533CF71">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75D361C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top"/>
          </w:tcPr>
          <w:p w14:paraId="17DFA920">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top"/>
          </w:tcPr>
          <w:p w14:paraId="2634DEC2">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top"/>
          </w:tcPr>
          <w:p w14:paraId="31A99E74">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c>
          <w:tcPr>
            <w:tcW w:w="1687" w:type="dxa"/>
            <w:tcBorders>
              <w:top w:val="single" w:color="000000" w:sz="4" w:space="0"/>
              <w:left w:val="single" w:color="000000" w:sz="4" w:space="0"/>
              <w:bottom w:val="single" w:color="000000" w:sz="4" w:space="0"/>
              <w:right w:val="single" w:color="000000" w:sz="4" w:space="0"/>
            </w:tcBorders>
            <w:shd w:val="clear" w:color="auto" w:fill="auto"/>
            <w:vAlign w:val="top"/>
          </w:tcPr>
          <w:p w14:paraId="157BE53A">
            <w:pPr>
              <w:pStyle w:val="42"/>
              <w:keepNext w:val="0"/>
              <w:keepLines w:val="0"/>
              <w:widowControl w:val="0"/>
              <w:suppressLineNumbers w:val="0"/>
              <w:adjustRightInd w:val="0"/>
              <w:snapToGrid w:val="0"/>
              <w:spacing w:before="0" w:beforeAutospacing="0" w:after="0" w:afterAutospacing="0" w:line="560" w:lineRule="exact"/>
              <w:ind w:left="0" w:right="0"/>
              <w:jc w:val="both"/>
              <w:rPr>
                <w:rFonts w:hint="eastAsia" w:ascii="宋体" w:hAnsi="宋体" w:eastAsia="宋体" w:cs="宋体"/>
                <w:color w:val="auto"/>
                <w:kern w:val="2"/>
                <w:sz w:val="20"/>
                <w:szCs w:val="20"/>
                <w:highlight w:val="none"/>
              </w:rPr>
            </w:pPr>
          </w:p>
        </w:tc>
      </w:tr>
    </w:tbl>
    <w:p w14:paraId="6CEC8EE6">
      <w:pPr>
        <w:pStyle w:val="4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560" w:lineRule="exact"/>
        <w:ind w:left="0" w:right="0" w:firstLine="42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注：1、本表仅针对不采用发包人推荐品牌，采用其他品牌的相应单位填写，并注明并提供相关技术参数、业绩等供评审委员会评审，未在上表中注明且未提供相关技术参数、业绩，或经评审委员会评审未通过的，成交后只能从项目单位推荐品牌中进行选择，价格不予调整。</w:t>
      </w:r>
    </w:p>
    <w:p w14:paraId="0F5C90E0">
      <w:pPr>
        <w:pStyle w:val="4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560" w:lineRule="exact"/>
        <w:ind w:left="0" w:right="0" w:firstLine="42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2、对于发包人推荐品牌的材料、设备等，投标单位如认为发包人推荐的品牌有限定性、唯一性、明显不在同一档次等级的或者其他疑问的，应在本项目澄清提出的截止时间前提出异议。</w:t>
      </w:r>
    </w:p>
    <w:p w14:paraId="79869350">
      <w:pPr>
        <w:pStyle w:val="4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afterAutospacing="0" w:line="560" w:lineRule="exact"/>
        <w:ind w:left="0" w:right="0" w:firstLine="420"/>
        <w:jc w:val="both"/>
        <w:textAlignment w:val="auto"/>
        <w:rPr>
          <w:rFonts w:hint="eastAsia" w:ascii="宋体" w:hAnsi="宋体" w:eastAsia="宋体" w:cs="宋体"/>
          <w:color w:val="auto"/>
          <w:kern w:val="2"/>
          <w:sz w:val="21"/>
          <w:szCs w:val="21"/>
          <w:highlight w:val="none"/>
        </w:rPr>
      </w:pPr>
    </w:p>
    <w:p w14:paraId="320AD530">
      <w:pPr>
        <w:keepNext w:val="0"/>
        <w:keepLines w:val="0"/>
        <w:widowControl w:val="0"/>
        <w:suppressLineNumbers w:val="0"/>
        <w:spacing w:before="0" w:beforeAutospacing="0" w:after="0" w:afterAutospacing="0"/>
        <w:ind w:left="0" w:right="0"/>
        <w:jc w:val="both"/>
        <w:rPr>
          <w:color w:val="auto"/>
          <w:highlight w:val="none"/>
        </w:rPr>
      </w:pPr>
    </w:p>
    <w:p w14:paraId="7AB9FF70">
      <w:pPr>
        <w:pStyle w:val="8"/>
        <w:widowControl/>
        <w:adjustRightInd w:val="0"/>
        <w:snapToGrid w:val="0"/>
        <w:spacing w:before="0" w:beforeAutospacing="0" w:after="0" w:afterAutospacing="0" w:line="560" w:lineRule="exact"/>
        <w:jc w:val="center"/>
        <w:rPr>
          <w:rFonts w:hint="eastAsia" w:ascii="宋体" w:hAnsi="宋体" w:cs="宋体"/>
          <w:b/>
          <w:bCs/>
          <w:color w:val="auto"/>
          <w:kern w:val="0"/>
          <w:sz w:val="32"/>
          <w:szCs w:val="32"/>
          <w:highlight w:val="none"/>
          <w:lang w:eastAsia="zh-CN"/>
        </w:rPr>
      </w:pPr>
      <w:r>
        <w:rPr>
          <w:rFonts w:hint="eastAsia" w:ascii="宋体" w:hAnsi="宋体" w:cs="宋体"/>
          <w:b/>
          <w:bCs/>
          <w:color w:val="auto"/>
          <w:kern w:val="0"/>
          <w:sz w:val="32"/>
          <w:szCs w:val="32"/>
          <w:highlight w:val="none"/>
          <w:lang w:eastAsia="zh-CN"/>
        </w:rPr>
        <w:t>（</w:t>
      </w:r>
      <w:r>
        <w:rPr>
          <w:rFonts w:hint="eastAsia" w:ascii="宋体" w:hAnsi="宋体" w:cs="宋体"/>
          <w:b/>
          <w:bCs/>
          <w:color w:val="auto"/>
          <w:kern w:val="0"/>
          <w:sz w:val="32"/>
          <w:szCs w:val="32"/>
          <w:highlight w:val="none"/>
          <w:lang w:val="en-US" w:eastAsia="zh-CN"/>
        </w:rPr>
        <w:t>4</w:t>
      </w:r>
      <w:r>
        <w:rPr>
          <w:rFonts w:hint="eastAsia" w:ascii="宋体" w:hAnsi="宋体" w:cs="宋体"/>
          <w:b/>
          <w:bCs/>
          <w:color w:val="auto"/>
          <w:kern w:val="0"/>
          <w:sz w:val="32"/>
          <w:szCs w:val="32"/>
          <w:highlight w:val="none"/>
          <w:lang w:eastAsia="zh-CN"/>
        </w:rPr>
        <w:t>）全国建筑市场监管公共服务平台(四库一平台)企业注册人员网页截图；</w:t>
      </w:r>
    </w:p>
    <w:p w14:paraId="56E05396">
      <w:pPr>
        <w:pStyle w:val="8"/>
        <w:widowControl/>
        <w:adjustRightInd w:val="0"/>
        <w:snapToGrid w:val="0"/>
        <w:spacing w:before="0" w:beforeAutospacing="0" w:after="0" w:afterAutospacing="0" w:line="560" w:lineRule="exact"/>
        <w:jc w:val="center"/>
        <w:rPr>
          <w:rFonts w:hint="eastAsia" w:ascii="宋体" w:hAnsi="宋体" w:cs="宋体"/>
          <w:b/>
          <w:bCs/>
          <w:color w:val="auto"/>
          <w:kern w:val="0"/>
          <w:sz w:val="32"/>
          <w:szCs w:val="32"/>
          <w:highlight w:val="none"/>
          <w:lang w:eastAsia="zh-CN"/>
        </w:rPr>
      </w:pPr>
    </w:p>
    <w:p w14:paraId="545CC467">
      <w:pPr>
        <w:pStyle w:val="8"/>
        <w:widowControl/>
        <w:adjustRightInd w:val="0"/>
        <w:snapToGrid w:val="0"/>
        <w:spacing w:before="0" w:beforeAutospacing="0" w:after="0" w:afterAutospacing="0" w:line="560" w:lineRule="exact"/>
        <w:jc w:val="center"/>
        <w:rPr>
          <w:rFonts w:hint="eastAsia" w:ascii="宋体" w:hAnsi="宋体" w:eastAsia="宋体" w:cs="宋体"/>
          <w:color w:val="auto"/>
          <w:szCs w:val="21"/>
          <w:highlight w:val="none"/>
          <w:lang w:eastAsia="zh-CN"/>
        </w:rPr>
      </w:pPr>
      <w:r>
        <w:rPr>
          <w:rFonts w:hint="eastAsia" w:ascii="宋体" w:hAnsi="宋体" w:cs="宋体"/>
          <w:b/>
          <w:bCs/>
          <w:color w:val="auto"/>
          <w:kern w:val="0"/>
          <w:sz w:val="32"/>
          <w:szCs w:val="32"/>
          <w:highlight w:val="none"/>
          <w:lang w:eastAsia="zh-CN"/>
        </w:rPr>
        <w:t>（</w:t>
      </w:r>
      <w:r>
        <w:rPr>
          <w:rFonts w:hint="eastAsia" w:ascii="宋体" w:hAnsi="宋体" w:cs="宋体"/>
          <w:b/>
          <w:bCs/>
          <w:color w:val="auto"/>
          <w:kern w:val="0"/>
          <w:sz w:val="32"/>
          <w:szCs w:val="32"/>
          <w:highlight w:val="none"/>
          <w:lang w:val="en-US" w:eastAsia="zh-CN"/>
        </w:rPr>
        <w:t>5</w:t>
      </w:r>
      <w:r>
        <w:rPr>
          <w:rFonts w:hint="eastAsia" w:ascii="宋体" w:hAnsi="宋体" w:cs="宋体"/>
          <w:b/>
          <w:bCs/>
          <w:color w:val="auto"/>
          <w:kern w:val="0"/>
          <w:sz w:val="32"/>
          <w:szCs w:val="32"/>
          <w:highlight w:val="none"/>
          <w:lang w:eastAsia="zh-CN"/>
        </w:rPr>
        <w:t>）</w:t>
      </w:r>
      <w:r>
        <w:rPr>
          <w:rFonts w:hint="eastAsia" w:ascii="宋体" w:hAnsi="宋体" w:eastAsia="宋体" w:cs="宋体"/>
          <w:b/>
          <w:bCs/>
          <w:color w:val="auto"/>
          <w:kern w:val="0"/>
          <w:sz w:val="32"/>
          <w:szCs w:val="32"/>
          <w:highlight w:val="none"/>
        </w:rPr>
        <w:t>详细评审所需其他材料（如有）</w:t>
      </w:r>
    </w:p>
    <w:p w14:paraId="5A98529D">
      <w:pPr>
        <w:pStyle w:val="43"/>
        <w:spacing w:beforeLines="50" w:afterLines="50" w:line="440" w:lineRule="exact"/>
        <w:rPr>
          <w:rFonts w:hint="eastAsia" w:ascii="仿宋_GB2312" w:hAnsi="宋体" w:eastAsia="仿宋_GB2312"/>
          <w:b/>
          <w:color w:val="auto"/>
          <w:sz w:val="32"/>
          <w:szCs w:val="32"/>
          <w:highlight w:val="none"/>
        </w:rPr>
      </w:pPr>
      <w:r>
        <w:rPr>
          <w:rFonts w:hint="eastAsia"/>
          <w:color w:val="auto"/>
          <w:sz w:val="32"/>
          <w:szCs w:val="32"/>
          <w:highlight w:val="none"/>
        </w:rPr>
        <w:br w:type="page"/>
      </w:r>
      <w:bookmarkEnd w:id="7"/>
      <w:bookmarkEnd w:id="8"/>
      <w:bookmarkEnd w:id="9"/>
      <w:bookmarkEnd w:id="10"/>
      <w:bookmarkEnd w:id="11"/>
      <w:bookmarkEnd w:id="972"/>
      <w:bookmarkEnd w:id="973"/>
      <w:bookmarkEnd w:id="974"/>
      <w:bookmarkEnd w:id="975"/>
      <w:bookmarkStart w:id="976" w:name="_Toc78803402"/>
    </w:p>
    <w:p w14:paraId="489D056E">
      <w:pPr>
        <w:pStyle w:val="43"/>
        <w:spacing w:beforeLines="50" w:afterLines="50" w:line="440" w:lineRule="exact"/>
        <w:rPr>
          <w:bCs/>
          <w:color w:val="auto"/>
          <w:szCs w:val="32"/>
          <w:highlight w:val="none"/>
        </w:rPr>
      </w:pPr>
      <w:bookmarkStart w:id="977" w:name="_Toc8955"/>
      <w:bookmarkStart w:id="978" w:name="_Toc29114"/>
      <w:bookmarkStart w:id="979" w:name="_Toc15593"/>
      <w:r>
        <w:rPr>
          <w:rFonts w:hint="eastAsia"/>
          <w:bCs/>
          <w:color w:val="auto"/>
          <w:szCs w:val="32"/>
          <w:highlight w:val="none"/>
        </w:rPr>
        <w:t>第</w:t>
      </w:r>
      <w:r>
        <w:rPr>
          <w:rFonts w:hint="eastAsia"/>
          <w:bCs/>
          <w:color w:val="auto"/>
          <w:szCs w:val="32"/>
          <w:highlight w:val="none"/>
          <w:lang w:val="en-US" w:eastAsia="zh-CN"/>
        </w:rPr>
        <w:t>九</w:t>
      </w:r>
      <w:r>
        <w:rPr>
          <w:rFonts w:hint="eastAsia"/>
          <w:bCs/>
          <w:color w:val="auto"/>
          <w:szCs w:val="32"/>
          <w:highlight w:val="none"/>
        </w:rPr>
        <w:t>章  招标单位、招标代理机构对本招标文件的确认</w:t>
      </w:r>
      <w:bookmarkEnd w:id="976"/>
      <w:bookmarkEnd w:id="977"/>
      <w:bookmarkEnd w:id="978"/>
      <w:bookmarkEnd w:id="979"/>
    </w:p>
    <w:p w14:paraId="62B128CB">
      <w:pPr>
        <w:pStyle w:val="20"/>
        <w:rPr>
          <w:color w:val="auto"/>
          <w:highlight w:val="none"/>
        </w:rPr>
      </w:pPr>
    </w:p>
    <w:tbl>
      <w:tblPr>
        <w:tblStyle w:val="46"/>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394A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61AAF3FD">
            <w:pPr>
              <w:keepNext w:val="0"/>
              <w:keepLines w:val="0"/>
              <w:suppressLineNumbers w:val="0"/>
              <w:wordWrap w:val="0"/>
              <w:adjustRightInd w:val="0"/>
              <w:snapToGrid w:val="0"/>
              <w:spacing w:before="0" w:beforeAutospacing="0" w:after="0" w:afterAutospacing="0" w:line="560" w:lineRule="exact"/>
              <w:ind w:left="0" w:right="0"/>
              <w:rPr>
                <w:rFonts w:hint="default"/>
                <w:color w:val="auto"/>
                <w:sz w:val="30"/>
                <w:highlight w:val="none"/>
              </w:rPr>
            </w:pPr>
          </w:p>
          <w:p w14:paraId="53CE57BC">
            <w:pPr>
              <w:keepNext w:val="0"/>
              <w:keepLines w:val="0"/>
              <w:suppressLineNumbers w:val="0"/>
              <w:spacing w:before="0" w:beforeAutospacing="0" w:after="0" w:afterAutospacing="0" w:line="560" w:lineRule="exact"/>
              <w:ind w:left="0" w:right="0" w:firstLine="560" w:firstLineChars="200"/>
              <w:rPr>
                <w:rFonts w:hint="default"/>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龙尾山小区顶楼屋面维修工程</w:t>
            </w:r>
            <w:r>
              <w:rPr>
                <w:rFonts w:hint="eastAsia"/>
                <w:color w:val="auto"/>
                <w:sz w:val="28"/>
                <w:szCs w:val="28"/>
                <w:highlight w:val="none"/>
                <w:u w:val="single"/>
              </w:rPr>
              <w:t xml:space="preserve"> </w:t>
            </w:r>
            <w:r>
              <w:rPr>
                <w:rFonts w:hint="eastAsia"/>
                <w:color w:val="auto"/>
                <w:sz w:val="28"/>
                <w:szCs w:val="28"/>
                <w:highlight w:val="none"/>
              </w:rPr>
              <w:t>的招标文件进行确认。</w:t>
            </w:r>
          </w:p>
          <w:p w14:paraId="3E40857E">
            <w:pPr>
              <w:keepNext w:val="0"/>
              <w:keepLines w:val="0"/>
              <w:suppressLineNumbers w:val="0"/>
              <w:spacing w:before="0" w:beforeAutospacing="0" w:after="0" w:afterAutospacing="0" w:line="560" w:lineRule="exact"/>
              <w:ind w:left="0" w:right="0" w:firstLine="560" w:firstLineChars="200"/>
              <w:rPr>
                <w:rFonts w:hint="eastAsia" w:ascii="宋体" w:hAnsi="宋体"/>
                <w:color w:val="auto"/>
                <w:sz w:val="28"/>
                <w:szCs w:val="28"/>
                <w:highlight w:val="none"/>
              </w:rPr>
            </w:pPr>
            <w:r>
              <w:rPr>
                <w:rFonts w:hint="eastAsia" w:ascii="宋体" w:hAnsi="宋体"/>
                <w:color w:val="auto"/>
                <w:sz w:val="28"/>
                <w:szCs w:val="28"/>
                <w:highlight w:val="none"/>
                <w:lang w:val="en-US" w:eastAsia="zh-CN"/>
              </w:rPr>
              <w:t>招标人</w:t>
            </w:r>
            <w:r>
              <w:rPr>
                <w:rFonts w:hint="eastAsia" w:ascii="宋体" w:hAnsi="宋体"/>
                <w:color w:val="auto"/>
                <w:sz w:val="28"/>
                <w:szCs w:val="28"/>
                <w:highlight w:val="none"/>
              </w:rPr>
              <w:t>：</w:t>
            </w:r>
            <w:r>
              <w:rPr>
                <w:rFonts w:hint="eastAsia" w:ascii="宋体" w:hAnsi="宋体"/>
                <w:color w:val="auto"/>
                <w:sz w:val="28"/>
                <w:szCs w:val="28"/>
                <w:highlight w:val="none"/>
                <w:lang w:eastAsia="zh-CN"/>
              </w:rPr>
              <w:t>安徽省琅琊山旅游发展有限公司</w:t>
            </w:r>
            <w:r>
              <w:rPr>
                <w:rFonts w:hint="eastAsia" w:ascii="宋体" w:hAnsi="宋体"/>
                <w:color w:val="auto"/>
                <w:sz w:val="28"/>
                <w:szCs w:val="28"/>
                <w:highlight w:val="none"/>
              </w:rPr>
              <w:t xml:space="preserve">  </w:t>
            </w:r>
          </w:p>
          <w:p w14:paraId="49373CFB">
            <w:pPr>
              <w:keepNext w:val="0"/>
              <w:keepLines w:val="0"/>
              <w:suppressLineNumbers w:val="0"/>
              <w:spacing w:before="0" w:beforeAutospacing="0" w:after="0" w:afterAutospacing="0" w:line="560" w:lineRule="exact"/>
              <w:ind w:left="0" w:right="0" w:firstLine="560" w:firstLineChars="200"/>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rPr>
              <w:t>联 系 人：</w:t>
            </w:r>
            <w:r>
              <w:rPr>
                <w:rFonts w:hint="eastAsia" w:ascii="宋体" w:hAnsi="宋体" w:cs="Times New Roman"/>
                <w:color w:val="auto"/>
                <w:sz w:val="28"/>
                <w:szCs w:val="28"/>
                <w:highlight w:val="none"/>
                <w:lang w:val="en-US" w:eastAsia="zh-CN"/>
              </w:rPr>
              <w:t>高维祥</w:t>
            </w:r>
            <w:r>
              <w:rPr>
                <w:rFonts w:hint="eastAsia" w:ascii="宋体" w:hAnsi="宋体" w:eastAsia="宋体" w:cs="Times New Roman"/>
                <w:color w:val="auto"/>
                <w:sz w:val="28"/>
                <w:szCs w:val="28"/>
                <w:highlight w:val="none"/>
              </w:rPr>
              <w:t xml:space="preserve"> </w:t>
            </w:r>
          </w:p>
          <w:p w14:paraId="79F3CBE5">
            <w:pPr>
              <w:keepNext w:val="0"/>
              <w:keepLines w:val="0"/>
              <w:suppressLineNumbers w:val="0"/>
              <w:spacing w:before="0" w:beforeAutospacing="0" w:after="0" w:afterAutospacing="0" w:line="560" w:lineRule="exact"/>
              <w:ind w:left="0" w:right="0" w:firstLine="560" w:firstLineChars="200"/>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rPr>
              <w:t>联系电话：</w:t>
            </w:r>
            <w:r>
              <w:rPr>
                <w:rFonts w:hint="eastAsia" w:ascii="宋体" w:hAnsi="宋体" w:cs="Times New Roman"/>
                <w:color w:val="auto"/>
                <w:sz w:val="28"/>
                <w:szCs w:val="28"/>
                <w:highlight w:val="none"/>
                <w:lang w:val="en-US" w:eastAsia="zh-CN"/>
              </w:rPr>
              <w:t>19955022620</w:t>
            </w:r>
          </w:p>
          <w:p w14:paraId="18674481">
            <w:pPr>
              <w:keepNext w:val="0"/>
              <w:keepLines w:val="0"/>
              <w:suppressLineNumbers w:val="0"/>
              <w:wordWrap w:val="0"/>
              <w:spacing w:before="0" w:beforeAutospacing="0" w:after="0" w:afterAutospacing="0" w:line="560" w:lineRule="exact"/>
              <w:ind w:left="0" w:right="0" w:firstLine="560" w:firstLineChars="200"/>
              <w:rPr>
                <w:rFonts w:hint="default" w:ascii="宋体" w:hAnsi="宋体"/>
                <w:color w:val="auto"/>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6BED97E9">
            <w:pPr>
              <w:keepNext w:val="0"/>
              <w:keepLines w:val="0"/>
              <w:suppressLineNumbers w:val="0"/>
              <w:wordWrap w:val="0"/>
              <w:spacing w:before="0" w:beforeAutospacing="0" w:after="0" w:afterAutospacing="0" w:line="560" w:lineRule="exact"/>
              <w:ind w:left="0" w:right="0" w:firstLine="560" w:firstLineChars="200"/>
              <w:rPr>
                <w:rFonts w:hint="default" w:ascii="宋体" w:hAnsi="宋体"/>
                <w:color w:val="auto"/>
                <w:sz w:val="28"/>
                <w:szCs w:val="28"/>
                <w:highlight w:val="none"/>
              </w:rPr>
            </w:pPr>
          </w:p>
          <w:p w14:paraId="46C7F6D4">
            <w:pPr>
              <w:keepNext w:val="0"/>
              <w:keepLines w:val="0"/>
              <w:suppressLineNumbers w:val="0"/>
              <w:wordWrap w:val="0"/>
              <w:spacing w:before="0" w:beforeAutospacing="0" w:after="0" w:afterAutospacing="0" w:line="560" w:lineRule="exact"/>
              <w:ind w:left="0" w:right="0" w:firstLine="560" w:firstLineChars="200"/>
              <w:rPr>
                <w:rFonts w:hint="default" w:ascii="宋体" w:hAnsi="宋体"/>
                <w:color w:val="auto"/>
                <w:sz w:val="28"/>
                <w:szCs w:val="28"/>
                <w:highlight w:val="none"/>
              </w:rPr>
            </w:pPr>
          </w:p>
          <w:p w14:paraId="4481DE6B">
            <w:pPr>
              <w:keepNext w:val="0"/>
              <w:keepLines w:val="0"/>
              <w:suppressLineNumbers w:val="0"/>
              <w:wordWrap w:val="0"/>
              <w:spacing w:before="0" w:beforeAutospacing="0" w:after="0" w:afterAutospacing="0" w:line="560" w:lineRule="exact"/>
              <w:ind w:left="0" w:right="0" w:firstLine="5740" w:firstLineChars="2050"/>
              <w:rPr>
                <w:rFonts w:hint="default" w:ascii="宋体" w:hAnsi="宋体"/>
                <w:color w:val="auto"/>
                <w:sz w:val="28"/>
                <w:szCs w:val="28"/>
                <w:highlight w:val="none"/>
              </w:rPr>
            </w:pPr>
            <w:r>
              <w:rPr>
                <w:rFonts w:hint="eastAsia" w:ascii="宋体" w:hAnsi="宋体"/>
                <w:color w:val="auto"/>
                <w:sz w:val="28"/>
                <w:szCs w:val="28"/>
                <w:highlight w:val="none"/>
              </w:rPr>
              <w:t>（单位盖章）</w:t>
            </w:r>
          </w:p>
          <w:p w14:paraId="4467D6B4">
            <w:pPr>
              <w:keepNext w:val="0"/>
              <w:keepLines w:val="0"/>
              <w:suppressLineNumbers w:val="0"/>
              <w:spacing w:before="0" w:beforeAutospacing="0" w:after="0" w:afterAutospacing="0" w:line="560" w:lineRule="exact"/>
              <w:ind w:left="0" w:right="0" w:firstLine="5880" w:firstLineChars="2100"/>
              <w:rPr>
                <w:rFonts w:hint="default"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2</w:t>
            </w:r>
            <w:r>
              <w:rPr>
                <w:rFonts w:hint="eastAsia" w:ascii="宋体" w:hAnsi="宋体"/>
                <w:color w:val="auto"/>
                <w:sz w:val="28"/>
                <w:szCs w:val="28"/>
                <w:highlight w:val="none"/>
              </w:rPr>
              <w:t>月</w:t>
            </w:r>
          </w:p>
          <w:p w14:paraId="6A97483B">
            <w:pPr>
              <w:pStyle w:val="2"/>
              <w:keepNext w:val="0"/>
              <w:keepLines w:val="0"/>
              <w:suppressLineNumbers w:val="0"/>
              <w:spacing w:before="0" w:beforeAutospacing="0" w:after="0" w:afterAutospacing="0"/>
              <w:ind w:right="0" w:firstLine="420"/>
              <w:rPr>
                <w:rFonts w:hint="default"/>
                <w:color w:val="auto"/>
                <w:highlight w:val="none"/>
              </w:rPr>
            </w:pPr>
          </w:p>
        </w:tc>
      </w:tr>
      <w:tr w14:paraId="2AD7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6" w:hRule="atLeast"/>
          <w:jc w:val="center"/>
        </w:trPr>
        <w:tc>
          <w:tcPr>
            <w:tcW w:w="9580" w:type="dxa"/>
            <w:noWrap/>
          </w:tcPr>
          <w:p w14:paraId="4A640610">
            <w:pPr>
              <w:keepNext w:val="0"/>
              <w:keepLines w:val="0"/>
              <w:suppressLineNumbers w:val="0"/>
              <w:spacing w:before="0" w:beforeAutospacing="0" w:after="0" w:afterAutospacing="0" w:line="560" w:lineRule="exact"/>
              <w:ind w:left="0" w:right="0" w:firstLine="560" w:firstLineChars="200"/>
              <w:rPr>
                <w:rFonts w:hint="default" w:ascii="宋体" w:hAnsi="宋体" w:cs="宋体"/>
                <w:color w:val="auto"/>
                <w:sz w:val="28"/>
                <w:szCs w:val="28"/>
                <w:highlight w:val="none"/>
              </w:rPr>
            </w:pPr>
          </w:p>
          <w:p w14:paraId="2F5FFA30">
            <w:pPr>
              <w:keepNext w:val="0"/>
              <w:keepLines w:val="0"/>
              <w:suppressLineNumbers w:val="0"/>
              <w:spacing w:before="0" w:beforeAutospacing="0" w:after="0" w:afterAutospacing="0" w:line="560" w:lineRule="exact"/>
              <w:ind w:left="0" w:right="0" w:firstLine="560" w:firstLineChars="200"/>
              <w:rPr>
                <w:rFonts w:hint="default" w:ascii="宋体" w:hAnsi="宋体" w:cs="宋体"/>
                <w:color w:val="auto"/>
                <w:sz w:val="28"/>
                <w:szCs w:val="28"/>
                <w:highlight w:val="none"/>
                <w:u w:val="single"/>
              </w:rPr>
            </w:pPr>
            <w:r>
              <w:rPr>
                <w:rFonts w:hint="eastAsia" w:ascii="宋体" w:hAnsi="宋体" w:cs="宋体"/>
                <w:color w:val="auto"/>
                <w:sz w:val="28"/>
                <w:szCs w:val="28"/>
                <w:highlight w:val="none"/>
              </w:rPr>
              <w:t>招标代理机构：</w:t>
            </w:r>
            <w:r>
              <w:rPr>
                <w:rFonts w:hint="eastAsia"/>
                <w:color w:val="auto"/>
                <w:sz w:val="28"/>
                <w:szCs w:val="28"/>
                <w:highlight w:val="none"/>
              </w:rPr>
              <w:t>滁州市城投工程咨询管理有限公司</w:t>
            </w:r>
          </w:p>
          <w:p w14:paraId="7A0413BB">
            <w:pPr>
              <w:keepNext w:val="0"/>
              <w:keepLines w:val="0"/>
              <w:suppressLineNumbers w:val="0"/>
              <w:spacing w:before="0" w:beforeAutospacing="0" w:after="0" w:afterAutospacing="0" w:line="560" w:lineRule="exact"/>
              <w:ind w:left="0" w:right="0"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联 系 人：胡国庆</w:t>
            </w:r>
          </w:p>
          <w:p w14:paraId="2E0C6C55">
            <w:pPr>
              <w:keepNext w:val="0"/>
              <w:keepLines w:val="0"/>
              <w:suppressLineNumbers w:val="0"/>
              <w:spacing w:before="0" w:beforeAutospacing="0" w:after="0" w:afterAutospacing="0" w:line="560" w:lineRule="exact"/>
              <w:ind w:left="0" w:right="0"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联系方式：0550-3519517、18005500950</w:t>
            </w:r>
          </w:p>
          <w:p w14:paraId="6B2CA8E7">
            <w:pPr>
              <w:keepNext w:val="0"/>
              <w:keepLines w:val="0"/>
              <w:suppressLineNumbers w:val="0"/>
              <w:spacing w:before="0" w:beforeAutospacing="0" w:after="0" w:afterAutospacing="0" w:line="560" w:lineRule="exact"/>
              <w:ind w:left="0" w:right="0" w:firstLine="5040" w:firstLineChars="1800"/>
              <w:rPr>
                <w:rFonts w:hint="default" w:ascii="宋体" w:hAnsi="宋体" w:cs="宋体"/>
                <w:color w:val="auto"/>
                <w:sz w:val="28"/>
                <w:szCs w:val="28"/>
                <w:highlight w:val="none"/>
              </w:rPr>
            </w:pPr>
          </w:p>
          <w:p w14:paraId="3C3B215A">
            <w:pPr>
              <w:keepNext w:val="0"/>
              <w:keepLines w:val="0"/>
              <w:suppressLineNumbers w:val="0"/>
              <w:spacing w:before="0" w:beforeAutospacing="0" w:after="0" w:afterAutospacing="0" w:line="560" w:lineRule="exact"/>
              <w:ind w:left="0" w:right="0" w:firstLine="5460" w:firstLineChars="1950"/>
              <w:rPr>
                <w:rFonts w:hint="default" w:ascii="宋体" w:hAnsi="宋体" w:cs="宋体"/>
                <w:color w:val="auto"/>
                <w:sz w:val="28"/>
                <w:szCs w:val="28"/>
                <w:highlight w:val="none"/>
              </w:rPr>
            </w:pPr>
          </w:p>
          <w:p w14:paraId="7F66BEEC">
            <w:pPr>
              <w:keepNext w:val="0"/>
              <w:keepLines w:val="0"/>
              <w:suppressLineNumbers w:val="0"/>
              <w:spacing w:before="0" w:beforeAutospacing="0" w:after="0" w:afterAutospacing="0" w:line="560" w:lineRule="exact"/>
              <w:ind w:left="0" w:right="0" w:firstLine="5880" w:firstLineChars="2100"/>
              <w:rPr>
                <w:rFonts w:hint="eastAsia" w:ascii="宋体" w:hAnsi="宋体" w:cs="宋体"/>
                <w:color w:val="auto"/>
                <w:sz w:val="28"/>
                <w:szCs w:val="28"/>
                <w:highlight w:val="none"/>
              </w:rPr>
            </w:pPr>
          </w:p>
          <w:p w14:paraId="21405049">
            <w:pPr>
              <w:keepNext w:val="0"/>
              <w:keepLines w:val="0"/>
              <w:suppressLineNumbers w:val="0"/>
              <w:spacing w:before="0" w:beforeAutospacing="0" w:after="0" w:afterAutospacing="0" w:line="560" w:lineRule="exact"/>
              <w:ind w:left="0" w:right="0" w:firstLine="5880" w:firstLineChars="2100"/>
              <w:rPr>
                <w:rFonts w:hint="default" w:ascii="宋体" w:hAnsi="宋体" w:cs="宋体"/>
                <w:color w:val="auto"/>
                <w:sz w:val="28"/>
                <w:szCs w:val="28"/>
                <w:highlight w:val="none"/>
              </w:rPr>
            </w:pPr>
            <w:r>
              <w:rPr>
                <w:rFonts w:hint="eastAsia" w:ascii="宋体" w:hAnsi="宋体" w:cs="宋体"/>
                <w:color w:val="auto"/>
                <w:sz w:val="28"/>
                <w:szCs w:val="28"/>
                <w:highlight w:val="none"/>
              </w:rPr>
              <w:t>（单位盖章）</w:t>
            </w:r>
          </w:p>
          <w:p w14:paraId="6ADFB5E1">
            <w:pPr>
              <w:keepNext w:val="0"/>
              <w:keepLines w:val="0"/>
              <w:suppressLineNumbers w:val="0"/>
              <w:spacing w:before="0" w:beforeAutospacing="0" w:after="0" w:afterAutospacing="0" w:line="560" w:lineRule="exact"/>
              <w:ind w:left="0" w:right="0" w:firstLine="6020" w:firstLineChars="2150"/>
              <w:rPr>
                <w:rFonts w:hint="default"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2</w:t>
            </w:r>
            <w:r>
              <w:rPr>
                <w:rFonts w:hint="eastAsia" w:ascii="宋体" w:hAnsi="宋体"/>
                <w:color w:val="auto"/>
                <w:sz w:val="28"/>
                <w:szCs w:val="28"/>
                <w:highlight w:val="none"/>
              </w:rPr>
              <w:t>月</w:t>
            </w:r>
          </w:p>
          <w:p w14:paraId="0B913135">
            <w:pPr>
              <w:pStyle w:val="2"/>
              <w:keepNext w:val="0"/>
              <w:keepLines w:val="0"/>
              <w:suppressLineNumbers w:val="0"/>
              <w:spacing w:before="0" w:beforeAutospacing="0" w:after="0" w:afterAutospacing="0"/>
              <w:ind w:right="0" w:firstLine="420"/>
              <w:rPr>
                <w:rFonts w:hint="default"/>
                <w:color w:val="auto"/>
                <w:highlight w:val="none"/>
              </w:rPr>
            </w:pPr>
          </w:p>
        </w:tc>
      </w:tr>
    </w:tbl>
    <w:p w14:paraId="330A1917">
      <w:pPr>
        <w:rPr>
          <w:color w:val="auto"/>
          <w:highlight w:val="none"/>
        </w:rPr>
      </w:pPr>
    </w:p>
    <w:sectPr>
      <w:headerReference r:id="rId5" w:type="default"/>
      <w:footerReference r:id="rId6" w:type="default"/>
      <w:pgSz w:w="11906" w:h="16838"/>
      <w:pgMar w:top="1134" w:right="1417" w:bottom="113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BA16">
    <w:pPr>
      <w:pStyle w:val="30"/>
      <w:rPr>
        <w:rStyle w:val="50"/>
      </w:rPr>
    </w:pPr>
  </w:p>
  <w:p w14:paraId="1189A1CD">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53A14">
    <w:pPr>
      <w:pStyle w:val="30"/>
      <w:rPr>
        <w:rStyle w:val="50"/>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C3423">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F1C3423">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2A8F1A23">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43C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45526">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0D545"/>
    <w:multiLevelType w:val="singleLevel"/>
    <w:tmpl w:val="BFD0D545"/>
    <w:lvl w:ilvl="0" w:tentative="0">
      <w:start w:val="3"/>
      <w:numFmt w:val="decimal"/>
      <w:suff w:val="nothing"/>
      <w:lvlText w:val="（%1）"/>
      <w:lvlJc w:val="left"/>
    </w:lvl>
  </w:abstractNum>
  <w:abstractNum w:abstractNumId="1">
    <w:nsid w:val="D6C92AE3"/>
    <w:multiLevelType w:val="multilevel"/>
    <w:tmpl w:val="D6C92AE3"/>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E3E014FC"/>
    <w:multiLevelType w:val="multilevel"/>
    <w:tmpl w:val="E3E014FC"/>
    <w:lvl w:ilvl="0" w:tentative="0">
      <w:start w:val="10"/>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1E80E6C8"/>
    <w:multiLevelType w:val="singleLevel"/>
    <w:tmpl w:val="1E80E6C8"/>
    <w:lvl w:ilvl="0" w:tentative="0">
      <w:start w:val="3"/>
      <w:numFmt w:val="chineseCounting"/>
      <w:suff w:val="space"/>
      <w:lvlText w:val="第%1章"/>
      <w:lvlJc w:val="left"/>
      <w:rPr>
        <w:rFonts w:hint="eastAsia"/>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5ZDY5ZDNjMmE2ZDcxYTFkMDY0Zjg5Mjg3YTE0YTg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3700"/>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86DFB"/>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C7854"/>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66A48"/>
    <w:rsid w:val="01086012"/>
    <w:rsid w:val="012F23D2"/>
    <w:rsid w:val="01353E46"/>
    <w:rsid w:val="013D20EF"/>
    <w:rsid w:val="013D4C8F"/>
    <w:rsid w:val="0141555F"/>
    <w:rsid w:val="01542AFA"/>
    <w:rsid w:val="015460A2"/>
    <w:rsid w:val="015E6630"/>
    <w:rsid w:val="016453D0"/>
    <w:rsid w:val="016C75C7"/>
    <w:rsid w:val="018D524F"/>
    <w:rsid w:val="019036D8"/>
    <w:rsid w:val="01A01767"/>
    <w:rsid w:val="01A66FAC"/>
    <w:rsid w:val="01BD22C8"/>
    <w:rsid w:val="01BD4FDC"/>
    <w:rsid w:val="01C42B8B"/>
    <w:rsid w:val="01CE3A0A"/>
    <w:rsid w:val="01CF7782"/>
    <w:rsid w:val="01E941AE"/>
    <w:rsid w:val="01ED256A"/>
    <w:rsid w:val="01FE504C"/>
    <w:rsid w:val="02025461"/>
    <w:rsid w:val="021A6C4F"/>
    <w:rsid w:val="02201D8C"/>
    <w:rsid w:val="0221105C"/>
    <w:rsid w:val="02240E71"/>
    <w:rsid w:val="022F6268"/>
    <w:rsid w:val="0230144B"/>
    <w:rsid w:val="023E2A8F"/>
    <w:rsid w:val="023F01AC"/>
    <w:rsid w:val="02497F02"/>
    <w:rsid w:val="025C7268"/>
    <w:rsid w:val="025D37A6"/>
    <w:rsid w:val="02630A21"/>
    <w:rsid w:val="027520D7"/>
    <w:rsid w:val="028265A2"/>
    <w:rsid w:val="02910656"/>
    <w:rsid w:val="029452C8"/>
    <w:rsid w:val="0299330C"/>
    <w:rsid w:val="029C2053"/>
    <w:rsid w:val="029E3E12"/>
    <w:rsid w:val="02AE2F1E"/>
    <w:rsid w:val="02B07476"/>
    <w:rsid w:val="02B12263"/>
    <w:rsid w:val="02B34262"/>
    <w:rsid w:val="02BA6D6B"/>
    <w:rsid w:val="02BC6761"/>
    <w:rsid w:val="02C30781"/>
    <w:rsid w:val="02C32A89"/>
    <w:rsid w:val="02EB23C8"/>
    <w:rsid w:val="02ED4254"/>
    <w:rsid w:val="02F54A67"/>
    <w:rsid w:val="02FB586B"/>
    <w:rsid w:val="0306659A"/>
    <w:rsid w:val="032764F6"/>
    <w:rsid w:val="032C124E"/>
    <w:rsid w:val="03355FAD"/>
    <w:rsid w:val="03357A15"/>
    <w:rsid w:val="033F6615"/>
    <w:rsid w:val="034A4B76"/>
    <w:rsid w:val="03604B36"/>
    <w:rsid w:val="03646BB0"/>
    <w:rsid w:val="036A455B"/>
    <w:rsid w:val="03700AD7"/>
    <w:rsid w:val="03881BEB"/>
    <w:rsid w:val="038B058F"/>
    <w:rsid w:val="03936A9A"/>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5E0D7F"/>
    <w:rsid w:val="046E6DDE"/>
    <w:rsid w:val="047015B8"/>
    <w:rsid w:val="048D54DF"/>
    <w:rsid w:val="04B51F1A"/>
    <w:rsid w:val="04BD0338"/>
    <w:rsid w:val="04C56D31"/>
    <w:rsid w:val="04CD0D24"/>
    <w:rsid w:val="04CF0F22"/>
    <w:rsid w:val="04D07A99"/>
    <w:rsid w:val="04D71637"/>
    <w:rsid w:val="04D7542D"/>
    <w:rsid w:val="04DD163F"/>
    <w:rsid w:val="04E452F2"/>
    <w:rsid w:val="04E82F5F"/>
    <w:rsid w:val="05084E1A"/>
    <w:rsid w:val="0536624A"/>
    <w:rsid w:val="05476ED2"/>
    <w:rsid w:val="05507187"/>
    <w:rsid w:val="05547F50"/>
    <w:rsid w:val="05586D81"/>
    <w:rsid w:val="055909BC"/>
    <w:rsid w:val="055E6C99"/>
    <w:rsid w:val="056326BB"/>
    <w:rsid w:val="056775E0"/>
    <w:rsid w:val="05812096"/>
    <w:rsid w:val="05852631"/>
    <w:rsid w:val="05863A76"/>
    <w:rsid w:val="05962A91"/>
    <w:rsid w:val="05A12347"/>
    <w:rsid w:val="05A174D0"/>
    <w:rsid w:val="05A31C11"/>
    <w:rsid w:val="05A54A82"/>
    <w:rsid w:val="05B15E1B"/>
    <w:rsid w:val="05B6570E"/>
    <w:rsid w:val="05B719DB"/>
    <w:rsid w:val="05C018BB"/>
    <w:rsid w:val="05C8568A"/>
    <w:rsid w:val="05D35133"/>
    <w:rsid w:val="05D411B5"/>
    <w:rsid w:val="05DC03BC"/>
    <w:rsid w:val="05E03755"/>
    <w:rsid w:val="05E05D39"/>
    <w:rsid w:val="05EE025B"/>
    <w:rsid w:val="05F81055"/>
    <w:rsid w:val="05FB2E46"/>
    <w:rsid w:val="06274DE9"/>
    <w:rsid w:val="0643158D"/>
    <w:rsid w:val="0652465D"/>
    <w:rsid w:val="06606ACF"/>
    <w:rsid w:val="06632C8A"/>
    <w:rsid w:val="066C44D0"/>
    <w:rsid w:val="066F0F20"/>
    <w:rsid w:val="06780BE4"/>
    <w:rsid w:val="067D77AC"/>
    <w:rsid w:val="0688298E"/>
    <w:rsid w:val="06A978A6"/>
    <w:rsid w:val="06B55198"/>
    <w:rsid w:val="06BA577F"/>
    <w:rsid w:val="06C373A0"/>
    <w:rsid w:val="06CA61EA"/>
    <w:rsid w:val="06CE3AAD"/>
    <w:rsid w:val="06D3256B"/>
    <w:rsid w:val="06E93094"/>
    <w:rsid w:val="07142FC9"/>
    <w:rsid w:val="0716354A"/>
    <w:rsid w:val="071A113A"/>
    <w:rsid w:val="071A5532"/>
    <w:rsid w:val="07391925"/>
    <w:rsid w:val="073F7F68"/>
    <w:rsid w:val="07433326"/>
    <w:rsid w:val="074D1200"/>
    <w:rsid w:val="075410AD"/>
    <w:rsid w:val="07701435"/>
    <w:rsid w:val="078057A6"/>
    <w:rsid w:val="0791006E"/>
    <w:rsid w:val="07A93817"/>
    <w:rsid w:val="07AA51F7"/>
    <w:rsid w:val="07C16E32"/>
    <w:rsid w:val="07C956F1"/>
    <w:rsid w:val="07DE071F"/>
    <w:rsid w:val="07E724F1"/>
    <w:rsid w:val="07F54B10"/>
    <w:rsid w:val="080D2DB2"/>
    <w:rsid w:val="08236132"/>
    <w:rsid w:val="0824157E"/>
    <w:rsid w:val="082A5712"/>
    <w:rsid w:val="08365D8B"/>
    <w:rsid w:val="083932FD"/>
    <w:rsid w:val="083C1D74"/>
    <w:rsid w:val="08442529"/>
    <w:rsid w:val="08664D5B"/>
    <w:rsid w:val="087338E5"/>
    <w:rsid w:val="087E552F"/>
    <w:rsid w:val="08935065"/>
    <w:rsid w:val="08994E2C"/>
    <w:rsid w:val="089E0248"/>
    <w:rsid w:val="08AA7F40"/>
    <w:rsid w:val="08AC09F8"/>
    <w:rsid w:val="08AF1C74"/>
    <w:rsid w:val="08B76FB8"/>
    <w:rsid w:val="08BB3B09"/>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659B3"/>
    <w:rsid w:val="09697733"/>
    <w:rsid w:val="097D56DC"/>
    <w:rsid w:val="09953804"/>
    <w:rsid w:val="099A0675"/>
    <w:rsid w:val="099C034D"/>
    <w:rsid w:val="09A71810"/>
    <w:rsid w:val="09AF52BC"/>
    <w:rsid w:val="09C556F2"/>
    <w:rsid w:val="09C9680A"/>
    <w:rsid w:val="09DA5625"/>
    <w:rsid w:val="09E33DCA"/>
    <w:rsid w:val="09EA33AB"/>
    <w:rsid w:val="09EA6668"/>
    <w:rsid w:val="0A0501E5"/>
    <w:rsid w:val="0A075D0B"/>
    <w:rsid w:val="0A0A57FB"/>
    <w:rsid w:val="0A193C90"/>
    <w:rsid w:val="0A1A77A1"/>
    <w:rsid w:val="0A3E3D26"/>
    <w:rsid w:val="0A4834F8"/>
    <w:rsid w:val="0A6173D2"/>
    <w:rsid w:val="0A682231"/>
    <w:rsid w:val="0A6825A9"/>
    <w:rsid w:val="0A781198"/>
    <w:rsid w:val="0A854E82"/>
    <w:rsid w:val="0A99092D"/>
    <w:rsid w:val="0AAC10E4"/>
    <w:rsid w:val="0AB07E4A"/>
    <w:rsid w:val="0AC93B72"/>
    <w:rsid w:val="0ACA6D38"/>
    <w:rsid w:val="0AD53C26"/>
    <w:rsid w:val="0ADD3B4A"/>
    <w:rsid w:val="0AEE775A"/>
    <w:rsid w:val="0AFF5154"/>
    <w:rsid w:val="0B0260FA"/>
    <w:rsid w:val="0B127FA5"/>
    <w:rsid w:val="0B187C06"/>
    <w:rsid w:val="0B462863"/>
    <w:rsid w:val="0B4B3360"/>
    <w:rsid w:val="0B6153F6"/>
    <w:rsid w:val="0B6C4BE2"/>
    <w:rsid w:val="0B745622"/>
    <w:rsid w:val="0B832C7E"/>
    <w:rsid w:val="0B895D1E"/>
    <w:rsid w:val="0B903157"/>
    <w:rsid w:val="0B9335CE"/>
    <w:rsid w:val="0BA653BF"/>
    <w:rsid w:val="0BAC6F99"/>
    <w:rsid w:val="0BCD1EAC"/>
    <w:rsid w:val="0BCF142C"/>
    <w:rsid w:val="0BDC319A"/>
    <w:rsid w:val="0BE669AA"/>
    <w:rsid w:val="0BFB783E"/>
    <w:rsid w:val="0BFD5373"/>
    <w:rsid w:val="0BFD6481"/>
    <w:rsid w:val="0BFE68ED"/>
    <w:rsid w:val="0C0F0CD9"/>
    <w:rsid w:val="0C230DF6"/>
    <w:rsid w:val="0C423C85"/>
    <w:rsid w:val="0C631998"/>
    <w:rsid w:val="0C6821F6"/>
    <w:rsid w:val="0C757885"/>
    <w:rsid w:val="0C836789"/>
    <w:rsid w:val="0C990787"/>
    <w:rsid w:val="0C992D4F"/>
    <w:rsid w:val="0C9A6555"/>
    <w:rsid w:val="0CAE3A50"/>
    <w:rsid w:val="0CBF15FF"/>
    <w:rsid w:val="0CC20F4F"/>
    <w:rsid w:val="0CC73EE7"/>
    <w:rsid w:val="0CD90540"/>
    <w:rsid w:val="0CD91857"/>
    <w:rsid w:val="0CDA4E4E"/>
    <w:rsid w:val="0CF258A4"/>
    <w:rsid w:val="0D212A41"/>
    <w:rsid w:val="0D214045"/>
    <w:rsid w:val="0D215F2C"/>
    <w:rsid w:val="0D314FE6"/>
    <w:rsid w:val="0D330BC5"/>
    <w:rsid w:val="0D540C02"/>
    <w:rsid w:val="0D571C0F"/>
    <w:rsid w:val="0D5F19BA"/>
    <w:rsid w:val="0D637F0E"/>
    <w:rsid w:val="0D645222"/>
    <w:rsid w:val="0D6A5410"/>
    <w:rsid w:val="0D794CB6"/>
    <w:rsid w:val="0D8145D3"/>
    <w:rsid w:val="0D8324ED"/>
    <w:rsid w:val="0D8F059D"/>
    <w:rsid w:val="0D8F5855"/>
    <w:rsid w:val="0D936D15"/>
    <w:rsid w:val="0D9827E5"/>
    <w:rsid w:val="0DAF3D29"/>
    <w:rsid w:val="0DBC0BBA"/>
    <w:rsid w:val="0DC466B9"/>
    <w:rsid w:val="0DC54945"/>
    <w:rsid w:val="0DF25BA4"/>
    <w:rsid w:val="0DFD573A"/>
    <w:rsid w:val="0DFE1012"/>
    <w:rsid w:val="0E0B029F"/>
    <w:rsid w:val="0E1A7B1C"/>
    <w:rsid w:val="0E230373"/>
    <w:rsid w:val="0E236E8B"/>
    <w:rsid w:val="0E252C04"/>
    <w:rsid w:val="0E2A41ED"/>
    <w:rsid w:val="0E30302E"/>
    <w:rsid w:val="0E351EED"/>
    <w:rsid w:val="0E397874"/>
    <w:rsid w:val="0E43752E"/>
    <w:rsid w:val="0E461B92"/>
    <w:rsid w:val="0E6059EA"/>
    <w:rsid w:val="0E632208"/>
    <w:rsid w:val="0E6574A4"/>
    <w:rsid w:val="0E844468"/>
    <w:rsid w:val="0E910299"/>
    <w:rsid w:val="0E9E135B"/>
    <w:rsid w:val="0EA44F43"/>
    <w:rsid w:val="0EA62844"/>
    <w:rsid w:val="0EC2669E"/>
    <w:rsid w:val="0ED75315"/>
    <w:rsid w:val="0ED756CF"/>
    <w:rsid w:val="0EDA51FE"/>
    <w:rsid w:val="0EE34A0A"/>
    <w:rsid w:val="0EEF23A4"/>
    <w:rsid w:val="0F0A1DF9"/>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C41BDA"/>
    <w:rsid w:val="0FD84D52"/>
    <w:rsid w:val="0FD93801"/>
    <w:rsid w:val="0FDC41E3"/>
    <w:rsid w:val="0FE95EB3"/>
    <w:rsid w:val="100C40A0"/>
    <w:rsid w:val="10131FB5"/>
    <w:rsid w:val="10176676"/>
    <w:rsid w:val="1031732E"/>
    <w:rsid w:val="10327E3A"/>
    <w:rsid w:val="103356D2"/>
    <w:rsid w:val="10374301"/>
    <w:rsid w:val="10394E9C"/>
    <w:rsid w:val="103A764D"/>
    <w:rsid w:val="103B6EC4"/>
    <w:rsid w:val="10457DEF"/>
    <w:rsid w:val="10482BD9"/>
    <w:rsid w:val="104A6951"/>
    <w:rsid w:val="105628E7"/>
    <w:rsid w:val="105A27E6"/>
    <w:rsid w:val="105C0FEB"/>
    <w:rsid w:val="108120DC"/>
    <w:rsid w:val="1089408D"/>
    <w:rsid w:val="108950E7"/>
    <w:rsid w:val="109135C4"/>
    <w:rsid w:val="10A4426E"/>
    <w:rsid w:val="10B656D8"/>
    <w:rsid w:val="10BB6F68"/>
    <w:rsid w:val="10C37A22"/>
    <w:rsid w:val="10C556C7"/>
    <w:rsid w:val="10C55FD8"/>
    <w:rsid w:val="10CF4C25"/>
    <w:rsid w:val="10F772EF"/>
    <w:rsid w:val="11017A58"/>
    <w:rsid w:val="11023D17"/>
    <w:rsid w:val="110F34C8"/>
    <w:rsid w:val="111016B8"/>
    <w:rsid w:val="114415F3"/>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E39AF"/>
    <w:rsid w:val="12114BE2"/>
    <w:rsid w:val="121911ED"/>
    <w:rsid w:val="12261816"/>
    <w:rsid w:val="122816CA"/>
    <w:rsid w:val="1231523F"/>
    <w:rsid w:val="12392AE3"/>
    <w:rsid w:val="12404237"/>
    <w:rsid w:val="12421044"/>
    <w:rsid w:val="124C39CE"/>
    <w:rsid w:val="127A5380"/>
    <w:rsid w:val="12957C2C"/>
    <w:rsid w:val="1298079E"/>
    <w:rsid w:val="1299424E"/>
    <w:rsid w:val="12AD5EBA"/>
    <w:rsid w:val="12AE0032"/>
    <w:rsid w:val="12B10442"/>
    <w:rsid w:val="12B91B6C"/>
    <w:rsid w:val="12C319F0"/>
    <w:rsid w:val="12CB7F7B"/>
    <w:rsid w:val="12D57B5A"/>
    <w:rsid w:val="12D60970"/>
    <w:rsid w:val="12DA74FD"/>
    <w:rsid w:val="12EE12AA"/>
    <w:rsid w:val="12FA6CF3"/>
    <w:rsid w:val="130354DD"/>
    <w:rsid w:val="13160E95"/>
    <w:rsid w:val="131D4A08"/>
    <w:rsid w:val="132A077A"/>
    <w:rsid w:val="132B4874"/>
    <w:rsid w:val="13365D96"/>
    <w:rsid w:val="133833D9"/>
    <w:rsid w:val="13401CF4"/>
    <w:rsid w:val="13474541"/>
    <w:rsid w:val="13477178"/>
    <w:rsid w:val="13597FDE"/>
    <w:rsid w:val="135C5234"/>
    <w:rsid w:val="13610A7C"/>
    <w:rsid w:val="1370511E"/>
    <w:rsid w:val="138A2CF3"/>
    <w:rsid w:val="139600FA"/>
    <w:rsid w:val="139831BB"/>
    <w:rsid w:val="139B1B3C"/>
    <w:rsid w:val="13AC7923"/>
    <w:rsid w:val="13BB36C2"/>
    <w:rsid w:val="13C163E4"/>
    <w:rsid w:val="13C24A51"/>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1426A"/>
    <w:rsid w:val="146975C2"/>
    <w:rsid w:val="148617D9"/>
    <w:rsid w:val="149258A7"/>
    <w:rsid w:val="149321EC"/>
    <w:rsid w:val="14A979BF"/>
    <w:rsid w:val="14AA6C47"/>
    <w:rsid w:val="14AD74AF"/>
    <w:rsid w:val="14B81325"/>
    <w:rsid w:val="14BB5770"/>
    <w:rsid w:val="14CA4494"/>
    <w:rsid w:val="14DD13B5"/>
    <w:rsid w:val="14DF1102"/>
    <w:rsid w:val="14E74E80"/>
    <w:rsid w:val="14F30E2B"/>
    <w:rsid w:val="14FB05D3"/>
    <w:rsid w:val="14FB1DB1"/>
    <w:rsid w:val="1507775C"/>
    <w:rsid w:val="15082EFA"/>
    <w:rsid w:val="15107A3E"/>
    <w:rsid w:val="15214D63"/>
    <w:rsid w:val="153E6FE7"/>
    <w:rsid w:val="15535F3F"/>
    <w:rsid w:val="155C3CBE"/>
    <w:rsid w:val="15697093"/>
    <w:rsid w:val="15760076"/>
    <w:rsid w:val="157E5DA4"/>
    <w:rsid w:val="159F6FD6"/>
    <w:rsid w:val="15A5462A"/>
    <w:rsid w:val="15B01BBF"/>
    <w:rsid w:val="15B55AAF"/>
    <w:rsid w:val="15EC3B3E"/>
    <w:rsid w:val="15F1786F"/>
    <w:rsid w:val="15F24B15"/>
    <w:rsid w:val="15F46C2A"/>
    <w:rsid w:val="15FA6724"/>
    <w:rsid w:val="160202FE"/>
    <w:rsid w:val="16121567"/>
    <w:rsid w:val="16175528"/>
    <w:rsid w:val="16236B8C"/>
    <w:rsid w:val="16257519"/>
    <w:rsid w:val="162D4D4B"/>
    <w:rsid w:val="16343F81"/>
    <w:rsid w:val="163634D4"/>
    <w:rsid w:val="163948ED"/>
    <w:rsid w:val="164275F4"/>
    <w:rsid w:val="164717FA"/>
    <w:rsid w:val="1654148B"/>
    <w:rsid w:val="165710DF"/>
    <w:rsid w:val="16573B76"/>
    <w:rsid w:val="165B71D5"/>
    <w:rsid w:val="166869FF"/>
    <w:rsid w:val="166D535E"/>
    <w:rsid w:val="16700A7A"/>
    <w:rsid w:val="16734728"/>
    <w:rsid w:val="167D1103"/>
    <w:rsid w:val="1683572D"/>
    <w:rsid w:val="169E0BEA"/>
    <w:rsid w:val="16A3744A"/>
    <w:rsid w:val="16AF7EFC"/>
    <w:rsid w:val="16D00899"/>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214E2"/>
    <w:rsid w:val="17A739C7"/>
    <w:rsid w:val="17C212EB"/>
    <w:rsid w:val="17C42121"/>
    <w:rsid w:val="17D66D1D"/>
    <w:rsid w:val="17D82A95"/>
    <w:rsid w:val="17D86805"/>
    <w:rsid w:val="17DD00AB"/>
    <w:rsid w:val="17FB6C91"/>
    <w:rsid w:val="18053F1E"/>
    <w:rsid w:val="18085749"/>
    <w:rsid w:val="180B6D06"/>
    <w:rsid w:val="181A3262"/>
    <w:rsid w:val="181C3FF8"/>
    <w:rsid w:val="18365CFA"/>
    <w:rsid w:val="184114A1"/>
    <w:rsid w:val="18425C49"/>
    <w:rsid w:val="18550EF6"/>
    <w:rsid w:val="186969E3"/>
    <w:rsid w:val="18883A30"/>
    <w:rsid w:val="188C7694"/>
    <w:rsid w:val="18AE37F5"/>
    <w:rsid w:val="18BE3F0D"/>
    <w:rsid w:val="18C140E3"/>
    <w:rsid w:val="18CD6371"/>
    <w:rsid w:val="18DA0A8E"/>
    <w:rsid w:val="18DA68F2"/>
    <w:rsid w:val="18DC03A2"/>
    <w:rsid w:val="18E11EA5"/>
    <w:rsid w:val="18FA4C8D"/>
    <w:rsid w:val="19054750"/>
    <w:rsid w:val="19083037"/>
    <w:rsid w:val="19092828"/>
    <w:rsid w:val="19103908"/>
    <w:rsid w:val="1933462F"/>
    <w:rsid w:val="19390D64"/>
    <w:rsid w:val="19554C37"/>
    <w:rsid w:val="19566DB3"/>
    <w:rsid w:val="196279A1"/>
    <w:rsid w:val="198040A4"/>
    <w:rsid w:val="198C37FE"/>
    <w:rsid w:val="199649B5"/>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16732"/>
    <w:rsid w:val="1A142D27"/>
    <w:rsid w:val="1A1816AF"/>
    <w:rsid w:val="1A302494"/>
    <w:rsid w:val="1A330E88"/>
    <w:rsid w:val="1A407304"/>
    <w:rsid w:val="1A60672B"/>
    <w:rsid w:val="1A630F50"/>
    <w:rsid w:val="1A6732FB"/>
    <w:rsid w:val="1A7871D0"/>
    <w:rsid w:val="1A7929A3"/>
    <w:rsid w:val="1A7B4669"/>
    <w:rsid w:val="1A870B38"/>
    <w:rsid w:val="1A8C5DB8"/>
    <w:rsid w:val="1A8C6CF6"/>
    <w:rsid w:val="1A9417D9"/>
    <w:rsid w:val="1AA572B8"/>
    <w:rsid w:val="1AA70EB7"/>
    <w:rsid w:val="1AAA4949"/>
    <w:rsid w:val="1AB31D2F"/>
    <w:rsid w:val="1AC00AAF"/>
    <w:rsid w:val="1AC83294"/>
    <w:rsid w:val="1ACE55DA"/>
    <w:rsid w:val="1ACE6054"/>
    <w:rsid w:val="1ACE6D27"/>
    <w:rsid w:val="1AD734D7"/>
    <w:rsid w:val="1AE0038B"/>
    <w:rsid w:val="1AE34AB0"/>
    <w:rsid w:val="1AEF625F"/>
    <w:rsid w:val="1B403FA5"/>
    <w:rsid w:val="1B450A9E"/>
    <w:rsid w:val="1B481CDF"/>
    <w:rsid w:val="1B4B17D0"/>
    <w:rsid w:val="1B524326"/>
    <w:rsid w:val="1B55168B"/>
    <w:rsid w:val="1B561283"/>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03A01"/>
    <w:rsid w:val="1C762201"/>
    <w:rsid w:val="1C87757C"/>
    <w:rsid w:val="1C911F05"/>
    <w:rsid w:val="1C9232F2"/>
    <w:rsid w:val="1C943E77"/>
    <w:rsid w:val="1C993860"/>
    <w:rsid w:val="1CA06DAD"/>
    <w:rsid w:val="1CB517E1"/>
    <w:rsid w:val="1CBF5FD1"/>
    <w:rsid w:val="1CC07FCD"/>
    <w:rsid w:val="1CCD060E"/>
    <w:rsid w:val="1CD4109A"/>
    <w:rsid w:val="1CDE3631"/>
    <w:rsid w:val="1CE814D1"/>
    <w:rsid w:val="1CFE11B3"/>
    <w:rsid w:val="1D00167E"/>
    <w:rsid w:val="1D01132A"/>
    <w:rsid w:val="1D022EEB"/>
    <w:rsid w:val="1D0F63E0"/>
    <w:rsid w:val="1D2C5B34"/>
    <w:rsid w:val="1D3444B7"/>
    <w:rsid w:val="1D3A1AFC"/>
    <w:rsid w:val="1D3F2887"/>
    <w:rsid w:val="1D413DD6"/>
    <w:rsid w:val="1D442082"/>
    <w:rsid w:val="1D494085"/>
    <w:rsid w:val="1D6104E9"/>
    <w:rsid w:val="1D6D5E73"/>
    <w:rsid w:val="1D6E2EA0"/>
    <w:rsid w:val="1D7C0366"/>
    <w:rsid w:val="1D8C44DA"/>
    <w:rsid w:val="1D90430C"/>
    <w:rsid w:val="1DA228F6"/>
    <w:rsid w:val="1DA26C67"/>
    <w:rsid w:val="1DA354C4"/>
    <w:rsid w:val="1DB571C9"/>
    <w:rsid w:val="1DB624A5"/>
    <w:rsid w:val="1DBF6F58"/>
    <w:rsid w:val="1DFB74DD"/>
    <w:rsid w:val="1DFC5003"/>
    <w:rsid w:val="1E2527AC"/>
    <w:rsid w:val="1E2A3F9F"/>
    <w:rsid w:val="1E5E781A"/>
    <w:rsid w:val="1E65546D"/>
    <w:rsid w:val="1E731769"/>
    <w:rsid w:val="1E7B6900"/>
    <w:rsid w:val="1E933E22"/>
    <w:rsid w:val="1EB44C7D"/>
    <w:rsid w:val="1EB60A31"/>
    <w:rsid w:val="1EC6457D"/>
    <w:rsid w:val="1EC7170B"/>
    <w:rsid w:val="1EC7534C"/>
    <w:rsid w:val="1ECD7160"/>
    <w:rsid w:val="1ED11BB0"/>
    <w:rsid w:val="1ED34F83"/>
    <w:rsid w:val="1ED641E3"/>
    <w:rsid w:val="1EED4935"/>
    <w:rsid w:val="1EF15FC6"/>
    <w:rsid w:val="1F196F16"/>
    <w:rsid w:val="1F1F544D"/>
    <w:rsid w:val="1F294330"/>
    <w:rsid w:val="1F2A3EE6"/>
    <w:rsid w:val="1F5164BE"/>
    <w:rsid w:val="1F530AFF"/>
    <w:rsid w:val="1F550636"/>
    <w:rsid w:val="1F5642FC"/>
    <w:rsid w:val="1F6725BD"/>
    <w:rsid w:val="1F6F0182"/>
    <w:rsid w:val="1F751014"/>
    <w:rsid w:val="1F7A16FF"/>
    <w:rsid w:val="1F841E94"/>
    <w:rsid w:val="1F86410F"/>
    <w:rsid w:val="1F88077C"/>
    <w:rsid w:val="1F987D78"/>
    <w:rsid w:val="1F9A5C92"/>
    <w:rsid w:val="1FAD0B55"/>
    <w:rsid w:val="1FB57B5F"/>
    <w:rsid w:val="1FBA786C"/>
    <w:rsid w:val="1FBF1E16"/>
    <w:rsid w:val="1FC55FF4"/>
    <w:rsid w:val="1FDF7221"/>
    <w:rsid w:val="1FE07DD2"/>
    <w:rsid w:val="1FF72B1D"/>
    <w:rsid w:val="2000702C"/>
    <w:rsid w:val="201952D2"/>
    <w:rsid w:val="2020109E"/>
    <w:rsid w:val="20220096"/>
    <w:rsid w:val="202816B6"/>
    <w:rsid w:val="202C5156"/>
    <w:rsid w:val="20352DB6"/>
    <w:rsid w:val="204E725A"/>
    <w:rsid w:val="205050F3"/>
    <w:rsid w:val="206003D6"/>
    <w:rsid w:val="20665891"/>
    <w:rsid w:val="20823312"/>
    <w:rsid w:val="208241B4"/>
    <w:rsid w:val="208F5999"/>
    <w:rsid w:val="20AA6F98"/>
    <w:rsid w:val="20AF45AF"/>
    <w:rsid w:val="20B05494"/>
    <w:rsid w:val="20BD4F1E"/>
    <w:rsid w:val="20D109C9"/>
    <w:rsid w:val="20EE5770"/>
    <w:rsid w:val="20FD17BE"/>
    <w:rsid w:val="2107261C"/>
    <w:rsid w:val="210B52D2"/>
    <w:rsid w:val="21147FEE"/>
    <w:rsid w:val="2132760F"/>
    <w:rsid w:val="213F7E47"/>
    <w:rsid w:val="21592FEC"/>
    <w:rsid w:val="215B2DFE"/>
    <w:rsid w:val="215C5CD9"/>
    <w:rsid w:val="215F2E6D"/>
    <w:rsid w:val="21787096"/>
    <w:rsid w:val="218B2E3C"/>
    <w:rsid w:val="21955962"/>
    <w:rsid w:val="219E13DD"/>
    <w:rsid w:val="21B5456C"/>
    <w:rsid w:val="21C0289A"/>
    <w:rsid w:val="21C314C7"/>
    <w:rsid w:val="21CB366A"/>
    <w:rsid w:val="21E53DD4"/>
    <w:rsid w:val="21F91F85"/>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971C0F"/>
    <w:rsid w:val="23AA4BFB"/>
    <w:rsid w:val="23AF4708"/>
    <w:rsid w:val="23B853F0"/>
    <w:rsid w:val="23C16A9A"/>
    <w:rsid w:val="23C465C3"/>
    <w:rsid w:val="23E66003"/>
    <w:rsid w:val="23F80076"/>
    <w:rsid w:val="23FC534D"/>
    <w:rsid w:val="23FE2FB7"/>
    <w:rsid w:val="23FE3AF7"/>
    <w:rsid w:val="240D56FD"/>
    <w:rsid w:val="24150BCD"/>
    <w:rsid w:val="241B7142"/>
    <w:rsid w:val="24452007"/>
    <w:rsid w:val="244802C7"/>
    <w:rsid w:val="244C0B39"/>
    <w:rsid w:val="245A32E7"/>
    <w:rsid w:val="246102B6"/>
    <w:rsid w:val="24635935"/>
    <w:rsid w:val="24660E6A"/>
    <w:rsid w:val="24665559"/>
    <w:rsid w:val="24691825"/>
    <w:rsid w:val="248C1A8E"/>
    <w:rsid w:val="248E0BEE"/>
    <w:rsid w:val="249222CA"/>
    <w:rsid w:val="249B49DE"/>
    <w:rsid w:val="249D1168"/>
    <w:rsid w:val="24B056E4"/>
    <w:rsid w:val="24BE3012"/>
    <w:rsid w:val="24CC572F"/>
    <w:rsid w:val="24CF65FC"/>
    <w:rsid w:val="24D258A5"/>
    <w:rsid w:val="24DA6A74"/>
    <w:rsid w:val="24DB4BCD"/>
    <w:rsid w:val="24F602A0"/>
    <w:rsid w:val="24FD7FDE"/>
    <w:rsid w:val="250025A0"/>
    <w:rsid w:val="252966D9"/>
    <w:rsid w:val="25296C9F"/>
    <w:rsid w:val="25401D76"/>
    <w:rsid w:val="2544236B"/>
    <w:rsid w:val="25453733"/>
    <w:rsid w:val="255249D2"/>
    <w:rsid w:val="256C3562"/>
    <w:rsid w:val="257F6C45"/>
    <w:rsid w:val="25882662"/>
    <w:rsid w:val="258C736F"/>
    <w:rsid w:val="25977271"/>
    <w:rsid w:val="259B2D68"/>
    <w:rsid w:val="259E7D45"/>
    <w:rsid w:val="25A6077B"/>
    <w:rsid w:val="25A941CC"/>
    <w:rsid w:val="25A97E1E"/>
    <w:rsid w:val="25B40CD0"/>
    <w:rsid w:val="25BC160E"/>
    <w:rsid w:val="25BF4424"/>
    <w:rsid w:val="25C17AFA"/>
    <w:rsid w:val="25C251DB"/>
    <w:rsid w:val="25E00E0C"/>
    <w:rsid w:val="25EF379B"/>
    <w:rsid w:val="25FC2044"/>
    <w:rsid w:val="260C11C1"/>
    <w:rsid w:val="261049C1"/>
    <w:rsid w:val="261E645E"/>
    <w:rsid w:val="26215F4F"/>
    <w:rsid w:val="26383109"/>
    <w:rsid w:val="264043A1"/>
    <w:rsid w:val="2641214D"/>
    <w:rsid w:val="264E7E9A"/>
    <w:rsid w:val="26597FFC"/>
    <w:rsid w:val="26697AAB"/>
    <w:rsid w:val="266D2F42"/>
    <w:rsid w:val="2673065B"/>
    <w:rsid w:val="26746071"/>
    <w:rsid w:val="267839D3"/>
    <w:rsid w:val="26802C75"/>
    <w:rsid w:val="268423E1"/>
    <w:rsid w:val="26890627"/>
    <w:rsid w:val="26937CAB"/>
    <w:rsid w:val="26A43060"/>
    <w:rsid w:val="26BB1EFF"/>
    <w:rsid w:val="26BB2001"/>
    <w:rsid w:val="26C467F8"/>
    <w:rsid w:val="26DD103B"/>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80018A"/>
    <w:rsid w:val="279D2924"/>
    <w:rsid w:val="27A52E1A"/>
    <w:rsid w:val="27AC7A9A"/>
    <w:rsid w:val="27BF60E1"/>
    <w:rsid w:val="27C53958"/>
    <w:rsid w:val="27D36D37"/>
    <w:rsid w:val="27DA4B73"/>
    <w:rsid w:val="27E61F25"/>
    <w:rsid w:val="27EC31BB"/>
    <w:rsid w:val="27ED2CBD"/>
    <w:rsid w:val="27F63DA6"/>
    <w:rsid w:val="27FA5CB6"/>
    <w:rsid w:val="27FF406E"/>
    <w:rsid w:val="280D34EA"/>
    <w:rsid w:val="281466B1"/>
    <w:rsid w:val="281713B7"/>
    <w:rsid w:val="281824A7"/>
    <w:rsid w:val="28312BBF"/>
    <w:rsid w:val="283B7736"/>
    <w:rsid w:val="284C64E6"/>
    <w:rsid w:val="2852403A"/>
    <w:rsid w:val="285F673E"/>
    <w:rsid w:val="28644CCA"/>
    <w:rsid w:val="28687E65"/>
    <w:rsid w:val="28732D83"/>
    <w:rsid w:val="287C6351"/>
    <w:rsid w:val="288051AE"/>
    <w:rsid w:val="288F6949"/>
    <w:rsid w:val="28911AF2"/>
    <w:rsid w:val="289151CA"/>
    <w:rsid w:val="28A10C81"/>
    <w:rsid w:val="28A2680F"/>
    <w:rsid w:val="28AB1AFF"/>
    <w:rsid w:val="28B63487"/>
    <w:rsid w:val="28DD431A"/>
    <w:rsid w:val="28DF17A9"/>
    <w:rsid w:val="28E92551"/>
    <w:rsid w:val="28EB31BC"/>
    <w:rsid w:val="28EB583C"/>
    <w:rsid w:val="28EC2844"/>
    <w:rsid w:val="28F402DA"/>
    <w:rsid w:val="28FC78BE"/>
    <w:rsid w:val="29000A40"/>
    <w:rsid w:val="290F29AF"/>
    <w:rsid w:val="292D0766"/>
    <w:rsid w:val="293634F4"/>
    <w:rsid w:val="29600B3C"/>
    <w:rsid w:val="29606D8E"/>
    <w:rsid w:val="29671ECA"/>
    <w:rsid w:val="29770361"/>
    <w:rsid w:val="2985201E"/>
    <w:rsid w:val="29A273A6"/>
    <w:rsid w:val="29C55899"/>
    <w:rsid w:val="29D3130E"/>
    <w:rsid w:val="29F2147C"/>
    <w:rsid w:val="2A0C4A40"/>
    <w:rsid w:val="2A0D3DED"/>
    <w:rsid w:val="2A104310"/>
    <w:rsid w:val="2A133E00"/>
    <w:rsid w:val="2A134AF4"/>
    <w:rsid w:val="2A255C2B"/>
    <w:rsid w:val="2A2B7BC9"/>
    <w:rsid w:val="2A3A5DF9"/>
    <w:rsid w:val="2A3C3357"/>
    <w:rsid w:val="2A4926C2"/>
    <w:rsid w:val="2A4B107A"/>
    <w:rsid w:val="2A4D10C0"/>
    <w:rsid w:val="2A4D2BFD"/>
    <w:rsid w:val="2A530EDF"/>
    <w:rsid w:val="2A574428"/>
    <w:rsid w:val="2A5F6992"/>
    <w:rsid w:val="2A7949E3"/>
    <w:rsid w:val="2A80647C"/>
    <w:rsid w:val="2A8E62B6"/>
    <w:rsid w:val="2A9572CC"/>
    <w:rsid w:val="2A9E13F0"/>
    <w:rsid w:val="2AA9206F"/>
    <w:rsid w:val="2AB209DF"/>
    <w:rsid w:val="2AD81233"/>
    <w:rsid w:val="2AE63EFE"/>
    <w:rsid w:val="2AFE060C"/>
    <w:rsid w:val="2B053749"/>
    <w:rsid w:val="2B195446"/>
    <w:rsid w:val="2B2E227F"/>
    <w:rsid w:val="2B2F07C6"/>
    <w:rsid w:val="2B3404E2"/>
    <w:rsid w:val="2B363CF4"/>
    <w:rsid w:val="2B3A7305"/>
    <w:rsid w:val="2B425FD0"/>
    <w:rsid w:val="2B4268A6"/>
    <w:rsid w:val="2B536BAA"/>
    <w:rsid w:val="2B6F0C66"/>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1D0F66"/>
    <w:rsid w:val="2C293467"/>
    <w:rsid w:val="2C3447BE"/>
    <w:rsid w:val="2C3B1B1B"/>
    <w:rsid w:val="2C3C07B5"/>
    <w:rsid w:val="2C3C1CCE"/>
    <w:rsid w:val="2C3D3C75"/>
    <w:rsid w:val="2C4B420E"/>
    <w:rsid w:val="2C56006A"/>
    <w:rsid w:val="2C5F50DB"/>
    <w:rsid w:val="2C660165"/>
    <w:rsid w:val="2C6619D7"/>
    <w:rsid w:val="2C6A0BA3"/>
    <w:rsid w:val="2C6E17C2"/>
    <w:rsid w:val="2C8A76F4"/>
    <w:rsid w:val="2C931BC6"/>
    <w:rsid w:val="2CA45E14"/>
    <w:rsid w:val="2CB43679"/>
    <w:rsid w:val="2CB62CA6"/>
    <w:rsid w:val="2CD40261"/>
    <w:rsid w:val="2CEE34EF"/>
    <w:rsid w:val="2CF605F7"/>
    <w:rsid w:val="2D016FE9"/>
    <w:rsid w:val="2D14362B"/>
    <w:rsid w:val="2D2E304F"/>
    <w:rsid w:val="2D3C07FE"/>
    <w:rsid w:val="2D5756FC"/>
    <w:rsid w:val="2D5D5591"/>
    <w:rsid w:val="2D74743A"/>
    <w:rsid w:val="2D7C11D4"/>
    <w:rsid w:val="2D7F4766"/>
    <w:rsid w:val="2D8D3A62"/>
    <w:rsid w:val="2D984D48"/>
    <w:rsid w:val="2DAF3E40"/>
    <w:rsid w:val="2DBE7F60"/>
    <w:rsid w:val="2DDF3360"/>
    <w:rsid w:val="2DE81100"/>
    <w:rsid w:val="2DF6381D"/>
    <w:rsid w:val="2DF6788C"/>
    <w:rsid w:val="2DFB0019"/>
    <w:rsid w:val="2E0D1588"/>
    <w:rsid w:val="2E3944B7"/>
    <w:rsid w:val="2E4749F8"/>
    <w:rsid w:val="2E4C1B78"/>
    <w:rsid w:val="2E73313B"/>
    <w:rsid w:val="2E81720F"/>
    <w:rsid w:val="2E840E29"/>
    <w:rsid w:val="2E866E5E"/>
    <w:rsid w:val="2E9077CD"/>
    <w:rsid w:val="2E9640D5"/>
    <w:rsid w:val="2EA916B2"/>
    <w:rsid w:val="2EB46A04"/>
    <w:rsid w:val="2EB84F76"/>
    <w:rsid w:val="2EBB35CF"/>
    <w:rsid w:val="2EC62DA5"/>
    <w:rsid w:val="2ECB7077"/>
    <w:rsid w:val="2EED318E"/>
    <w:rsid w:val="2EFE3F3B"/>
    <w:rsid w:val="2F0C331C"/>
    <w:rsid w:val="2F0F1794"/>
    <w:rsid w:val="2F176141"/>
    <w:rsid w:val="2F1A0856"/>
    <w:rsid w:val="2F2443BA"/>
    <w:rsid w:val="2F2B5B05"/>
    <w:rsid w:val="2F475C7E"/>
    <w:rsid w:val="2F486024"/>
    <w:rsid w:val="2F522CD5"/>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6C4DF1"/>
    <w:rsid w:val="30726790"/>
    <w:rsid w:val="30801AC4"/>
    <w:rsid w:val="30823D65"/>
    <w:rsid w:val="30831C53"/>
    <w:rsid w:val="308E438B"/>
    <w:rsid w:val="30A43A04"/>
    <w:rsid w:val="30C87FB8"/>
    <w:rsid w:val="30CB1DAF"/>
    <w:rsid w:val="30E90E2B"/>
    <w:rsid w:val="30ED02EA"/>
    <w:rsid w:val="30FF267A"/>
    <w:rsid w:val="30FF594C"/>
    <w:rsid w:val="310A2A14"/>
    <w:rsid w:val="310F59F0"/>
    <w:rsid w:val="311D200F"/>
    <w:rsid w:val="31395BA8"/>
    <w:rsid w:val="3141666D"/>
    <w:rsid w:val="31422C6A"/>
    <w:rsid w:val="3143321D"/>
    <w:rsid w:val="31480833"/>
    <w:rsid w:val="314B14BF"/>
    <w:rsid w:val="3158219E"/>
    <w:rsid w:val="315C5564"/>
    <w:rsid w:val="316D537E"/>
    <w:rsid w:val="31716348"/>
    <w:rsid w:val="317355F2"/>
    <w:rsid w:val="3185517F"/>
    <w:rsid w:val="3185793C"/>
    <w:rsid w:val="31927602"/>
    <w:rsid w:val="319475D5"/>
    <w:rsid w:val="31975317"/>
    <w:rsid w:val="31A041CB"/>
    <w:rsid w:val="31A87524"/>
    <w:rsid w:val="31B06C89"/>
    <w:rsid w:val="31B91778"/>
    <w:rsid w:val="31C2569E"/>
    <w:rsid w:val="31C96BD0"/>
    <w:rsid w:val="31D04385"/>
    <w:rsid w:val="31D9377A"/>
    <w:rsid w:val="31E15891"/>
    <w:rsid w:val="31F043F4"/>
    <w:rsid w:val="3203475A"/>
    <w:rsid w:val="32170EE1"/>
    <w:rsid w:val="32463124"/>
    <w:rsid w:val="325066A8"/>
    <w:rsid w:val="32563FE3"/>
    <w:rsid w:val="325C6E21"/>
    <w:rsid w:val="325D3410"/>
    <w:rsid w:val="325F0A17"/>
    <w:rsid w:val="3260226B"/>
    <w:rsid w:val="327652E9"/>
    <w:rsid w:val="327A5FF1"/>
    <w:rsid w:val="32810B80"/>
    <w:rsid w:val="32A55CC0"/>
    <w:rsid w:val="32A937D2"/>
    <w:rsid w:val="32BF4263"/>
    <w:rsid w:val="32C95971"/>
    <w:rsid w:val="32CF5928"/>
    <w:rsid w:val="32D97115"/>
    <w:rsid w:val="32E41009"/>
    <w:rsid w:val="32E9078F"/>
    <w:rsid w:val="32ED34FF"/>
    <w:rsid w:val="330856D0"/>
    <w:rsid w:val="332B3F69"/>
    <w:rsid w:val="33316646"/>
    <w:rsid w:val="333A06E2"/>
    <w:rsid w:val="33462B8C"/>
    <w:rsid w:val="33491C13"/>
    <w:rsid w:val="335E45B2"/>
    <w:rsid w:val="33680D19"/>
    <w:rsid w:val="33691E57"/>
    <w:rsid w:val="336E025D"/>
    <w:rsid w:val="336F654B"/>
    <w:rsid w:val="33735D99"/>
    <w:rsid w:val="33736E76"/>
    <w:rsid w:val="337570A4"/>
    <w:rsid w:val="33833CFC"/>
    <w:rsid w:val="33A269EC"/>
    <w:rsid w:val="33A856B1"/>
    <w:rsid w:val="33A930DF"/>
    <w:rsid w:val="33AB2922"/>
    <w:rsid w:val="33AE6B10"/>
    <w:rsid w:val="33B73314"/>
    <w:rsid w:val="33C50B9E"/>
    <w:rsid w:val="33CB2F89"/>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9D6F1D"/>
    <w:rsid w:val="349E076A"/>
    <w:rsid w:val="34AF7CC9"/>
    <w:rsid w:val="34B14942"/>
    <w:rsid w:val="34C87463"/>
    <w:rsid w:val="34DB376C"/>
    <w:rsid w:val="34E526B4"/>
    <w:rsid w:val="34F03DC0"/>
    <w:rsid w:val="34FE7262"/>
    <w:rsid w:val="351D1FD7"/>
    <w:rsid w:val="352407FC"/>
    <w:rsid w:val="352612DF"/>
    <w:rsid w:val="35284201"/>
    <w:rsid w:val="35322B1F"/>
    <w:rsid w:val="3535498A"/>
    <w:rsid w:val="35471E10"/>
    <w:rsid w:val="354F3660"/>
    <w:rsid w:val="355004C3"/>
    <w:rsid w:val="35531BEF"/>
    <w:rsid w:val="3556146D"/>
    <w:rsid w:val="355724F0"/>
    <w:rsid w:val="35584DBD"/>
    <w:rsid w:val="356B5D07"/>
    <w:rsid w:val="357240D1"/>
    <w:rsid w:val="357A4D33"/>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E1B63"/>
    <w:rsid w:val="361F1CFE"/>
    <w:rsid w:val="362F026F"/>
    <w:rsid w:val="36371201"/>
    <w:rsid w:val="363720E3"/>
    <w:rsid w:val="3639711B"/>
    <w:rsid w:val="363E765D"/>
    <w:rsid w:val="364611F8"/>
    <w:rsid w:val="36581710"/>
    <w:rsid w:val="36592830"/>
    <w:rsid w:val="36632356"/>
    <w:rsid w:val="367409D2"/>
    <w:rsid w:val="36794FEB"/>
    <w:rsid w:val="367B56C5"/>
    <w:rsid w:val="367C5173"/>
    <w:rsid w:val="36915D46"/>
    <w:rsid w:val="36B81FB7"/>
    <w:rsid w:val="36CA31B0"/>
    <w:rsid w:val="36D20797"/>
    <w:rsid w:val="36DA5E17"/>
    <w:rsid w:val="36E65B3A"/>
    <w:rsid w:val="36F01751"/>
    <w:rsid w:val="36FF3742"/>
    <w:rsid w:val="370346A6"/>
    <w:rsid w:val="37113475"/>
    <w:rsid w:val="37252E94"/>
    <w:rsid w:val="37296474"/>
    <w:rsid w:val="373227C5"/>
    <w:rsid w:val="37405833"/>
    <w:rsid w:val="374101FF"/>
    <w:rsid w:val="375869AC"/>
    <w:rsid w:val="375B253A"/>
    <w:rsid w:val="37666B6B"/>
    <w:rsid w:val="37675674"/>
    <w:rsid w:val="376B1978"/>
    <w:rsid w:val="37940CA8"/>
    <w:rsid w:val="37B75A65"/>
    <w:rsid w:val="37C0746E"/>
    <w:rsid w:val="37D848CF"/>
    <w:rsid w:val="37DA41AF"/>
    <w:rsid w:val="37DB157C"/>
    <w:rsid w:val="37DB3C7D"/>
    <w:rsid w:val="37EB761E"/>
    <w:rsid w:val="37EE7D30"/>
    <w:rsid w:val="37F62976"/>
    <w:rsid w:val="37F77F19"/>
    <w:rsid w:val="38034F62"/>
    <w:rsid w:val="38042FDA"/>
    <w:rsid w:val="381C3F20"/>
    <w:rsid w:val="381F0AD4"/>
    <w:rsid w:val="3822692C"/>
    <w:rsid w:val="38343F2A"/>
    <w:rsid w:val="38490F9C"/>
    <w:rsid w:val="384C1631"/>
    <w:rsid w:val="385201EA"/>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335925"/>
    <w:rsid w:val="39464964"/>
    <w:rsid w:val="395224D9"/>
    <w:rsid w:val="39535FC7"/>
    <w:rsid w:val="395601FC"/>
    <w:rsid w:val="397B4E62"/>
    <w:rsid w:val="39972B1A"/>
    <w:rsid w:val="399A1410"/>
    <w:rsid w:val="39C47D94"/>
    <w:rsid w:val="39CD1539"/>
    <w:rsid w:val="39CD5D32"/>
    <w:rsid w:val="39DA1DFA"/>
    <w:rsid w:val="39DC71EB"/>
    <w:rsid w:val="39DD5D2E"/>
    <w:rsid w:val="39E01A69"/>
    <w:rsid w:val="39FD79FE"/>
    <w:rsid w:val="3A045F91"/>
    <w:rsid w:val="3A076679"/>
    <w:rsid w:val="3A0A0953"/>
    <w:rsid w:val="3A211C22"/>
    <w:rsid w:val="3A2C4127"/>
    <w:rsid w:val="3A3758E9"/>
    <w:rsid w:val="3A3C7179"/>
    <w:rsid w:val="3A485400"/>
    <w:rsid w:val="3A4F0AA8"/>
    <w:rsid w:val="3A543DA5"/>
    <w:rsid w:val="3A5576B6"/>
    <w:rsid w:val="3A682780"/>
    <w:rsid w:val="3A687850"/>
    <w:rsid w:val="3A697EB7"/>
    <w:rsid w:val="3A701E17"/>
    <w:rsid w:val="3A764E67"/>
    <w:rsid w:val="3A7B71BD"/>
    <w:rsid w:val="3A7F0311"/>
    <w:rsid w:val="3A845141"/>
    <w:rsid w:val="3A8538B6"/>
    <w:rsid w:val="3A884EF1"/>
    <w:rsid w:val="3A8C5141"/>
    <w:rsid w:val="3AA52853"/>
    <w:rsid w:val="3AA648FE"/>
    <w:rsid w:val="3AAA7D3D"/>
    <w:rsid w:val="3AD117FB"/>
    <w:rsid w:val="3AD4138A"/>
    <w:rsid w:val="3AD72904"/>
    <w:rsid w:val="3AD75A09"/>
    <w:rsid w:val="3ADC5AFD"/>
    <w:rsid w:val="3AE17BBC"/>
    <w:rsid w:val="3B007A89"/>
    <w:rsid w:val="3B0E664A"/>
    <w:rsid w:val="3B0F5ABD"/>
    <w:rsid w:val="3B1E79B5"/>
    <w:rsid w:val="3B2F4F75"/>
    <w:rsid w:val="3B31477D"/>
    <w:rsid w:val="3B315914"/>
    <w:rsid w:val="3B422101"/>
    <w:rsid w:val="3B455DE4"/>
    <w:rsid w:val="3B467602"/>
    <w:rsid w:val="3B4715CB"/>
    <w:rsid w:val="3B5008D7"/>
    <w:rsid w:val="3B7346FF"/>
    <w:rsid w:val="3B7D5180"/>
    <w:rsid w:val="3B7F15E2"/>
    <w:rsid w:val="3B8536A6"/>
    <w:rsid w:val="3B9F0C51"/>
    <w:rsid w:val="3BA00572"/>
    <w:rsid w:val="3BB1021B"/>
    <w:rsid w:val="3BE15B0C"/>
    <w:rsid w:val="3BF72A83"/>
    <w:rsid w:val="3C096E11"/>
    <w:rsid w:val="3C135790"/>
    <w:rsid w:val="3C1752F7"/>
    <w:rsid w:val="3C193171"/>
    <w:rsid w:val="3C1E3214"/>
    <w:rsid w:val="3C2528C6"/>
    <w:rsid w:val="3C371BD0"/>
    <w:rsid w:val="3C4F1FEA"/>
    <w:rsid w:val="3C5A58BF"/>
    <w:rsid w:val="3C5B6745"/>
    <w:rsid w:val="3C5E3DBD"/>
    <w:rsid w:val="3C683B38"/>
    <w:rsid w:val="3C686571"/>
    <w:rsid w:val="3C6F5E3B"/>
    <w:rsid w:val="3C83525B"/>
    <w:rsid w:val="3C87375A"/>
    <w:rsid w:val="3C88531F"/>
    <w:rsid w:val="3C8D7A42"/>
    <w:rsid w:val="3C8E189D"/>
    <w:rsid w:val="3CA22EFE"/>
    <w:rsid w:val="3CA72347"/>
    <w:rsid w:val="3CB8043D"/>
    <w:rsid w:val="3CB94BCA"/>
    <w:rsid w:val="3CC35212"/>
    <w:rsid w:val="3CC50225"/>
    <w:rsid w:val="3CD967E3"/>
    <w:rsid w:val="3CDE231E"/>
    <w:rsid w:val="3D245A63"/>
    <w:rsid w:val="3D254E4B"/>
    <w:rsid w:val="3D36346C"/>
    <w:rsid w:val="3D4269DA"/>
    <w:rsid w:val="3D430EA3"/>
    <w:rsid w:val="3D47560D"/>
    <w:rsid w:val="3D523BCD"/>
    <w:rsid w:val="3D645169"/>
    <w:rsid w:val="3D6933DE"/>
    <w:rsid w:val="3D7C3859"/>
    <w:rsid w:val="3D80607F"/>
    <w:rsid w:val="3D8F2120"/>
    <w:rsid w:val="3D8F30A0"/>
    <w:rsid w:val="3D982525"/>
    <w:rsid w:val="3D990E61"/>
    <w:rsid w:val="3DA327E5"/>
    <w:rsid w:val="3DB01C7C"/>
    <w:rsid w:val="3DB334D8"/>
    <w:rsid w:val="3DBA1ADA"/>
    <w:rsid w:val="3DC355A6"/>
    <w:rsid w:val="3DC42D6E"/>
    <w:rsid w:val="3DD009EA"/>
    <w:rsid w:val="3DD05142"/>
    <w:rsid w:val="3DD122A2"/>
    <w:rsid w:val="3DD64752"/>
    <w:rsid w:val="3DD80DF7"/>
    <w:rsid w:val="3DE17E96"/>
    <w:rsid w:val="3DE26317"/>
    <w:rsid w:val="3DEB1B40"/>
    <w:rsid w:val="3DFC4E7F"/>
    <w:rsid w:val="3E097D00"/>
    <w:rsid w:val="3E0D0E3B"/>
    <w:rsid w:val="3E2D1C0D"/>
    <w:rsid w:val="3E352B5B"/>
    <w:rsid w:val="3E3A2755"/>
    <w:rsid w:val="3E463101"/>
    <w:rsid w:val="3E5315CE"/>
    <w:rsid w:val="3E5717D0"/>
    <w:rsid w:val="3E5E04B0"/>
    <w:rsid w:val="3E5F4189"/>
    <w:rsid w:val="3E6C1A3F"/>
    <w:rsid w:val="3E734A16"/>
    <w:rsid w:val="3E752133"/>
    <w:rsid w:val="3E7A5DA4"/>
    <w:rsid w:val="3E8F1850"/>
    <w:rsid w:val="3E953235"/>
    <w:rsid w:val="3EAA3B18"/>
    <w:rsid w:val="3EAA555F"/>
    <w:rsid w:val="3EBD0BAE"/>
    <w:rsid w:val="3EC3774B"/>
    <w:rsid w:val="3ECC3927"/>
    <w:rsid w:val="3ECD2095"/>
    <w:rsid w:val="3EE4497A"/>
    <w:rsid w:val="3EEF22EE"/>
    <w:rsid w:val="3EF02AD3"/>
    <w:rsid w:val="3F024C1A"/>
    <w:rsid w:val="3F0D0FA0"/>
    <w:rsid w:val="3F21052E"/>
    <w:rsid w:val="3F330C34"/>
    <w:rsid w:val="3F333F65"/>
    <w:rsid w:val="3F3917F4"/>
    <w:rsid w:val="3F397A0D"/>
    <w:rsid w:val="3F4A39C9"/>
    <w:rsid w:val="3F625E8E"/>
    <w:rsid w:val="3F6A673B"/>
    <w:rsid w:val="3F716AD8"/>
    <w:rsid w:val="3F757858"/>
    <w:rsid w:val="3F8C2A74"/>
    <w:rsid w:val="3FA70307"/>
    <w:rsid w:val="3FA70E1B"/>
    <w:rsid w:val="3FA7458E"/>
    <w:rsid w:val="3FB22390"/>
    <w:rsid w:val="3FBA180C"/>
    <w:rsid w:val="3FCF1529"/>
    <w:rsid w:val="3FDD2A57"/>
    <w:rsid w:val="3FE37E33"/>
    <w:rsid w:val="3FF027C2"/>
    <w:rsid w:val="3FF55C7D"/>
    <w:rsid w:val="3FF676AC"/>
    <w:rsid w:val="400E03CE"/>
    <w:rsid w:val="401171AD"/>
    <w:rsid w:val="401C4A76"/>
    <w:rsid w:val="40225AF1"/>
    <w:rsid w:val="403D5148"/>
    <w:rsid w:val="403D6B94"/>
    <w:rsid w:val="40507C98"/>
    <w:rsid w:val="40580367"/>
    <w:rsid w:val="4061657E"/>
    <w:rsid w:val="40642B5B"/>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1D00F5"/>
    <w:rsid w:val="41292B74"/>
    <w:rsid w:val="41406E31"/>
    <w:rsid w:val="414E3836"/>
    <w:rsid w:val="41592854"/>
    <w:rsid w:val="41610FD0"/>
    <w:rsid w:val="416E516B"/>
    <w:rsid w:val="418812BB"/>
    <w:rsid w:val="418D4040"/>
    <w:rsid w:val="419E7FFC"/>
    <w:rsid w:val="419F3079"/>
    <w:rsid w:val="41AE3A67"/>
    <w:rsid w:val="41C95125"/>
    <w:rsid w:val="41D91034"/>
    <w:rsid w:val="41E27AF9"/>
    <w:rsid w:val="41EA02ED"/>
    <w:rsid w:val="42075BA1"/>
    <w:rsid w:val="4215282E"/>
    <w:rsid w:val="42166627"/>
    <w:rsid w:val="42225E0B"/>
    <w:rsid w:val="42383FB6"/>
    <w:rsid w:val="423D7815"/>
    <w:rsid w:val="4246491B"/>
    <w:rsid w:val="424F30C2"/>
    <w:rsid w:val="42591487"/>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3A3C4A"/>
    <w:rsid w:val="435720D9"/>
    <w:rsid w:val="435D7A57"/>
    <w:rsid w:val="43615785"/>
    <w:rsid w:val="43732880"/>
    <w:rsid w:val="43865952"/>
    <w:rsid w:val="438F0BB0"/>
    <w:rsid w:val="43993170"/>
    <w:rsid w:val="43AF7095"/>
    <w:rsid w:val="43BF04EA"/>
    <w:rsid w:val="43C05A1E"/>
    <w:rsid w:val="43C755E8"/>
    <w:rsid w:val="43CF4932"/>
    <w:rsid w:val="43D22CDA"/>
    <w:rsid w:val="43D354DC"/>
    <w:rsid w:val="43E3106F"/>
    <w:rsid w:val="4405353A"/>
    <w:rsid w:val="44063CF3"/>
    <w:rsid w:val="44072973"/>
    <w:rsid w:val="44095C00"/>
    <w:rsid w:val="44117E2D"/>
    <w:rsid w:val="441822E7"/>
    <w:rsid w:val="442F13DF"/>
    <w:rsid w:val="44426345"/>
    <w:rsid w:val="444B2816"/>
    <w:rsid w:val="445279AA"/>
    <w:rsid w:val="4453331F"/>
    <w:rsid w:val="445F3A72"/>
    <w:rsid w:val="445F3A86"/>
    <w:rsid w:val="4478636B"/>
    <w:rsid w:val="447A0DB3"/>
    <w:rsid w:val="447B4624"/>
    <w:rsid w:val="447D2B53"/>
    <w:rsid w:val="4481712B"/>
    <w:rsid w:val="44901E7E"/>
    <w:rsid w:val="449F54A7"/>
    <w:rsid w:val="44A1052F"/>
    <w:rsid w:val="44C93406"/>
    <w:rsid w:val="44D74994"/>
    <w:rsid w:val="44DD0E3B"/>
    <w:rsid w:val="44E67CEF"/>
    <w:rsid w:val="44F62875"/>
    <w:rsid w:val="44F75334"/>
    <w:rsid w:val="44FB02DC"/>
    <w:rsid w:val="45111EFE"/>
    <w:rsid w:val="451730A2"/>
    <w:rsid w:val="451955A3"/>
    <w:rsid w:val="45205199"/>
    <w:rsid w:val="45260B70"/>
    <w:rsid w:val="45357C2D"/>
    <w:rsid w:val="453A003B"/>
    <w:rsid w:val="45467C1A"/>
    <w:rsid w:val="45523E0A"/>
    <w:rsid w:val="45603F46"/>
    <w:rsid w:val="45784EE5"/>
    <w:rsid w:val="45790587"/>
    <w:rsid w:val="457C33A8"/>
    <w:rsid w:val="45800144"/>
    <w:rsid w:val="458804FE"/>
    <w:rsid w:val="458D57CB"/>
    <w:rsid w:val="4595726A"/>
    <w:rsid w:val="45C67177"/>
    <w:rsid w:val="45D048BE"/>
    <w:rsid w:val="45DE626C"/>
    <w:rsid w:val="45EB660D"/>
    <w:rsid w:val="45F13477"/>
    <w:rsid w:val="45FD7B3D"/>
    <w:rsid w:val="460A10C2"/>
    <w:rsid w:val="46220C85"/>
    <w:rsid w:val="46230254"/>
    <w:rsid w:val="46244F73"/>
    <w:rsid w:val="46287B26"/>
    <w:rsid w:val="462A00B0"/>
    <w:rsid w:val="462D24EF"/>
    <w:rsid w:val="46534E0B"/>
    <w:rsid w:val="46692DA8"/>
    <w:rsid w:val="4670640B"/>
    <w:rsid w:val="46753897"/>
    <w:rsid w:val="467A71EB"/>
    <w:rsid w:val="46867477"/>
    <w:rsid w:val="46893028"/>
    <w:rsid w:val="468A02AD"/>
    <w:rsid w:val="468B3DD1"/>
    <w:rsid w:val="469043B7"/>
    <w:rsid w:val="46BF4C9C"/>
    <w:rsid w:val="46C936C8"/>
    <w:rsid w:val="46CB1893"/>
    <w:rsid w:val="46CC37DC"/>
    <w:rsid w:val="46D87DE5"/>
    <w:rsid w:val="46E556A4"/>
    <w:rsid w:val="46E97F6B"/>
    <w:rsid w:val="46EA25E1"/>
    <w:rsid w:val="46EB1077"/>
    <w:rsid w:val="46F34946"/>
    <w:rsid w:val="470C2558"/>
    <w:rsid w:val="472127B7"/>
    <w:rsid w:val="472165B7"/>
    <w:rsid w:val="47277064"/>
    <w:rsid w:val="47323C17"/>
    <w:rsid w:val="4743767B"/>
    <w:rsid w:val="474C305D"/>
    <w:rsid w:val="474E29C1"/>
    <w:rsid w:val="475569C5"/>
    <w:rsid w:val="475A49C5"/>
    <w:rsid w:val="475E44B5"/>
    <w:rsid w:val="476121D8"/>
    <w:rsid w:val="476A063C"/>
    <w:rsid w:val="476C2E00"/>
    <w:rsid w:val="477C748E"/>
    <w:rsid w:val="478A7058"/>
    <w:rsid w:val="47941208"/>
    <w:rsid w:val="47A101B2"/>
    <w:rsid w:val="47AB5220"/>
    <w:rsid w:val="47BF2852"/>
    <w:rsid w:val="47BF386C"/>
    <w:rsid w:val="47C02A7A"/>
    <w:rsid w:val="47C3256A"/>
    <w:rsid w:val="47C95C6C"/>
    <w:rsid w:val="47EC7022"/>
    <w:rsid w:val="47FC7940"/>
    <w:rsid w:val="48030B33"/>
    <w:rsid w:val="48046015"/>
    <w:rsid w:val="480E7E06"/>
    <w:rsid w:val="4819316F"/>
    <w:rsid w:val="482F5E51"/>
    <w:rsid w:val="483F125D"/>
    <w:rsid w:val="48580B32"/>
    <w:rsid w:val="485A1120"/>
    <w:rsid w:val="485B43A9"/>
    <w:rsid w:val="48635024"/>
    <w:rsid w:val="486C0E54"/>
    <w:rsid w:val="487B675C"/>
    <w:rsid w:val="48954DA6"/>
    <w:rsid w:val="48A95C04"/>
    <w:rsid w:val="48B22238"/>
    <w:rsid w:val="48B33076"/>
    <w:rsid w:val="48C4330A"/>
    <w:rsid w:val="48D55EB3"/>
    <w:rsid w:val="48DA0701"/>
    <w:rsid w:val="48DF324A"/>
    <w:rsid w:val="48E052EC"/>
    <w:rsid w:val="48E65AEE"/>
    <w:rsid w:val="48F50E49"/>
    <w:rsid w:val="48F80CE7"/>
    <w:rsid w:val="49096FCD"/>
    <w:rsid w:val="491B0811"/>
    <w:rsid w:val="491D7C08"/>
    <w:rsid w:val="494625B6"/>
    <w:rsid w:val="49507E2D"/>
    <w:rsid w:val="49512BB1"/>
    <w:rsid w:val="495E0009"/>
    <w:rsid w:val="49641F5D"/>
    <w:rsid w:val="49666B6B"/>
    <w:rsid w:val="496F2CCC"/>
    <w:rsid w:val="498F64FC"/>
    <w:rsid w:val="49AD1724"/>
    <w:rsid w:val="49B21663"/>
    <w:rsid w:val="49BE7E39"/>
    <w:rsid w:val="49C40005"/>
    <w:rsid w:val="49C65419"/>
    <w:rsid w:val="49D04BAB"/>
    <w:rsid w:val="49E07403"/>
    <w:rsid w:val="49EA0282"/>
    <w:rsid w:val="49EA17C4"/>
    <w:rsid w:val="49EF440A"/>
    <w:rsid w:val="4A1A2F12"/>
    <w:rsid w:val="4A2B55B2"/>
    <w:rsid w:val="4A2C7C77"/>
    <w:rsid w:val="4A321C6F"/>
    <w:rsid w:val="4A366D8C"/>
    <w:rsid w:val="4A375709"/>
    <w:rsid w:val="4A454E53"/>
    <w:rsid w:val="4A475BFC"/>
    <w:rsid w:val="4A484FA8"/>
    <w:rsid w:val="4A4E1094"/>
    <w:rsid w:val="4A561717"/>
    <w:rsid w:val="4A5971B6"/>
    <w:rsid w:val="4A5D3269"/>
    <w:rsid w:val="4A606796"/>
    <w:rsid w:val="4A717D8F"/>
    <w:rsid w:val="4A7D0F83"/>
    <w:rsid w:val="4A834A22"/>
    <w:rsid w:val="4A8815D3"/>
    <w:rsid w:val="4A9454F9"/>
    <w:rsid w:val="4A972DF7"/>
    <w:rsid w:val="4A992274"/>
    <w:rsid w:val="4AA77F21"/>
    <w:rsid w:val="4AAA2276"/>
    <w:rsid w:val="4AB12CDE"/>
    <w:rsid w:val="4AB26AE1"/>
    <w:rsid w:val="4AB64534"/>
    <w:rsid w:val="4ABD14F2"/>
    <w:rsid w:val="4AC66642"/>
    <w:rsid w:val="4AC87549"/>
    <w:rsid w:val="4AD37353"/>
    <w:rsid w:val="4ADC6651"/>
    <w:rsid w:val="4AE2340C"/>
    <w:rsid w:val="4AE72A13"/>
    <w:rsid w:val="4AFF6999"/>
    <w:rsid w:val="4B0E61F2"/>
    <w:rsid w:val="4B21257E"/>
    <w:rsid w:val="4B290FE3"/>
    <w:rsid w:val="4B295DF2"/>
    <w:rsid w:val="4B322207"/>
    <w:rsid w:val="4B3B5793"/>
    <w:rsid w:val="4B58050B"/>
    <w:rsid w:val="4B5A25F7"/>
    <w:rsid w:val="4B6A0768"/>
    <w:rsid w:val="4B6B0CBD"/>
    <w:rsid w:val="4B705719"/>
    <w:rsid w:val="4B7B47F9"/>
    <w:rsid w:val="4B8D7117"/>
    <w:rsid w:val="4BA563FE"/>
    <w:rsid w:val="4BB77663"/>
    <w:rsid w:val="4BBF1EF3"/>
    <w:rsid w:val="4BC54DE5"/>
    <w:rsid w:val="4BCB7306"/>
    <w:rsid w:val="4BD52968"/>
    <w:rsid w:val="4BD91D02"/>
    <w:rsid w:val="4BE2600E"/>
    <w:rsid w:val="4BE34975"/>
    <w:rsid w:val="4BE57820"/>
    <w:rsid w:val="4BF657A1"/>
    <w:rsid w:val="4BFB7B74"/>
    <w:rsid w:val="4C0457A1"/>
    <w:rsid w:val="4C2070A8"/>
    <w:rsid w:val="4C276BC0"/>
    <w:rsid w:val="4C3A6D52"/>
    <w:rsid w:val="4C3F2C78"/>
    <w:rsid w:val="4C42244E"/>
    <w:rsid w:val="4C437DCE"/>
    <w:rsid w:val="4C6D3DA8"/>
    <w:rsid w:val="4C727CFA"/>
    <w:rsid w:val="4C800A2A"/>
    <w:rsid w:val="4C88081B"/>
    <w:rsid w:val="4C8872A2"/>
    <w:rsid w:val="4C9C19F3"/>
    <w:rsid w:val="4CA47183"/>
    <w:rsid w:val="4CB7606E"/>
    <w:rsid w:val="4CDA2830"/>
    <w:rsid w:val="4CDE1861"/>
    <w:rsid w:val="4CF745DE"/>
    <w:rsid w:val="4CFC57E0"/>
    <w:rsid w:val="4D087B01"/>
    <w:rsid w:val="4D0B58BC"/>
    <w:rsid w:val="4D0C050F"/>
    <w:rsid w:val="4D0C2AD5"/>
    <w:rsid w:val="4D1F46E6"/>
    <w:rsid w:val="4D2059FA"/>
    <w:rsid w:val="4D2E3574"/>
    <w:rsid w:val="4D432919"/>
    <w:rsid w:val="4D451B18"/>
    <w:rsid w:val="4D4D5AFE"/>
    <w:rsid w:val="4D502AF2"/>
    <w:rsid w:val="4D5C07F9"/>
    <w:rsid w:val="4D755736"/>
    <w:rsid w:val="4D786533"/>
    <w:rsid w:val="4DAC0A3B"/>
    <w:rsid w:val="4DB92102"/>
    <w:rsid w:val="4DBA3E20"/>
    <w:rsid w:val="4DBC5B64"/>
    <w:rsid w:val="4DC679DB"/>
    <w:rsid w:val="4DE61D12"/>
    <w:rsid w:val="4DF1146E"/>
    <w:rsid w:val="4DF53699"/>
    <w:rsid w:val="4DF82017"/>
    <w:rsid w:val="4DFF4A01"/>
    <w:rsid w:val="4E0E661C"/>
    <w:rsid w:val="4E1E3790"/>
    <w:rsid w:val="4E2E44B5"/>
    <w:rsid w:val="4E4C57ED"/>
    <w:rsid w:val="4E5505A6"/>
    <w:rsid w:val="4E820BD8"/>
    <w:rsid w:val="4E874C8C"/>
    <w:rsid w:val="4E8D729C"/>
    <w:rsid w:val="4E8E1C0C"/>
    <w:rsid w:val="4E9609D8"/>
    <w:rsid w:val="4E9764FE"/>
    <w:rsid w:val="4E98004C"/>
    <w:rsid w:val="4E9C58C3"/>
    <w:rsid w:val="4EA5208F"/>
    <w:rsid w:val="4EAC01FC"/>
    <w:rsid w:val="4EAE617F"/>
    <w:rsid w:val="4EBD702F"/>
    <w:rsid w:val="4EC310A1"/>
    <w:rsid w:val="4EC818B0"/>
    <w:rsid w:val="4ECB59F9"/>
    <w:rsid w:val="4ECE1CAC"/>
    <w:rsid w:val="4EE414BB"/>
    <w:rsid w:val="4EE87B84"/>
    <w:rsid w:val="4EFE0DEE"/>
    <w:rsid w:val="4EFF65C5"/>
    <w:rsid w:val="4F0052D1"/>
    <w:rsid w:val="4F014784"/>
    <w:rsid w:val="4F0431E6"/>
    <w:rsid w:val="4F1B712F"/>
    <w:rsid w:val="4F1C605F"/>
    <w:rsid w:val="4F254824"/>
    <w:rsid w:val="4F2658BE"/>
    <w:rsid w:val="4F42646A"/>
    <w:rsid w:val="4F4736A7"/>
    <w:rsid w:val="4F585C8E"/>
    <w:rsid w:val="4F7914EF"/>
    <w:rsid w:val="4F7E60F0"/>
    <w:rsid w:val="4F9174FD"/>
    <w:rsid w:val="4F9402D2"/>
    <w:rsid w:val="4FB10142"/>
    <w:rsid w:val="4FB82BD0"/>
    <w:rsid w:val="4FC643B6"/>
    <w:rsid w:val="4FD1578E"/>
    <w:rsid w:val="4FE10E76"/>
    <w:rsid w:val="4FEE2189"/>
    <w:rsid w:val="4FF71C3D"/>
    <w:rsid w:val="50016856"/>
    <w:rsid w:val="5008518B"/>
    <w:rsid w:val="500B32A2"/>
    <w:rsid w:val="501A4DE6"/>
    <w:rsid w:val="502B6647"/>
    <w:rsid w:val="502B6EFE"/>
    <w:rsid w:val="50324E90"/>
    <w:rsid w:val="504C1B11"/>
    <w:rsid w:val="504E68CB"/>
    <w:rsid w:val="505F48A5"/>
    <w:rsid w:val="50616DC4"/>
    <w:rsid w:val="506472D4"/>
    <w:rsid w:val="50664FFD"/>
    <w:rsid w:val="50666C7A"/>
    <w:rsid w:val="507460A4"/>
    <w:rsid w:val="5094445D"/>
    <w:rsid w:val="509C0D4E"/>
    <w:rsid w:val="50A23A1E"/>
    <w:rsid w:val="50AC44E3"/>
    <w:rsid w:val="50B57EA9"/>
    <w:rsid w:val="50B651BB"/>
    <w:rsid w:val="50BC2B26"/>
    <w:rsid w:val="50BE1984"/>
    <w:rsid w:val="50D141C6"/>
    <w:rsid w:val="50D94FDD"/>
    <w:rsid w:val="50F115EA"/>
    <w:rsid w:val="50F72C9C"/>
    <w:rsid w:val="50FC0DB6"/>
    <w:rsid w:val="511107EA"/>
    <w:rsid w:val="511300BE"/>
    <w:rsid w:val="511F2007"/>
    <w:rsid w:val="51271E2F"/>
    <w:rsid w:val="51324BC3"/>
    <w:rsid w:val="51342CAA"/>
    <w:rsid w:val="51366F32"/>
    <w:rsid w:val="51406A38"/>
    <w:rsid w:val="514B4E4E"/>
    <w:rsid w:val="516578E1"/>
    <w:rsid w:val="517174DB"/>
    <w:rsid w:val="518049FF"/>
    <w:rsid w:val="51932FAD"/>
    <w:rsid w:val="51A06E66"/>
    <w:rsid w:val="51A81966"/>
    <w:rsid w:val="51AF590D"/>
    <w:rsid w:val="51B475E9"/>
    <w:rsid w:val="51BA020E"/>
    <w:rsid w:val="51C05FF6"/>
    <w:rsid w:val="51C32097"/>
    <w:rsid w:val="51D135DE"/>
    <w:rsid w:val="51DF4444"/>
    <w:rsid w:val="51ED6B61"/>
    <w:rsid w:val="51F65295"/>
    <w:rsid w:val="51F872B4"/>
    <w:rsid w:val="51FD3DB6"/>
    <w:rsid w:val="52097713"/>
    <w:rsid w:val="520C3BB6"/>
    <w:rsid w:val="52252174"/>
    <w:rsid w:val="52295AE6"/>
    <w:rsid w:val="522D0E7F"/>
    <w:rsid w:val="523636A7"/>
    <w:rsid w:val="523E4D62"/>
    <w:rsid w:val="5243507E"/>
    <w:rsid w:val="525402A0"/>
    <w:rsid w:val="52554706"/>
    <w:rsid w:val="525F5585"/>
    <w:rsid w:val="528D41E4"/>
    <w:rsid w:val="52BF5C92"/>
    <w:rsid w:val="52C2167A"/>
    <w:rsid w:val="52C7794C"/>
    <w:rsid w:val="52D279CD"/>
    <w:rsid w:val="52D32ADF"/>
    <w:rsid w:val="52E45ACB"/>
    <w:rsid w:val="52E71802"/>
    <w:rsid w:val="52F47AFB"/>
    <w:rsid w:val="53071B37"/>
    <w:rsid w:val="530A5973"/>
    <w:rsid w:val="531169F3"/>
    <w:rsid w:val="531348FB"/>
    <w:rsid w:val="53275D3D"/>
    <w:rsid w:val="532760A3"/>
    <w:rsid w:val="533354CF"/>
    <w:rsid w:val="533407C0"/>
    <w:rsid w:val="53346A12"/>
    <w:rsid w:val="53346B96"/>
    <w:rsid w:val="53456529"/>
    <w:rsid w:val="535D5DC8"/>
    <w:rsid w:val="537961D3"/>
    <w:rsid w:val="537A3167"/>
    <w:rsid w:val="537D2360"/>
    <w:rsid w:val="53811E50"/>
    <w:rsid w:val="5393482C"/>
    <w:rsid w:val="53B22465"/>
    <w:rsid w:val="53B45F49"/>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607AB"/>
    <w:rsid w:val="544B7F7E"/>
    <w:rsid w:val="54501D22"/>
    <w:rsid w:val="54592AA9"/>
    <w:rsid w:val="546146EB"/>
    <w:rsid w:val="54680D66"/>
    <w:rsid w:val="54685AA1"/>
    <w:rsid w:val="547D06FB"/>
    <w:rsid w:val="547D14B1"/>
    <w:rsid w:val="54857DDB"/>
    <w:rsid w:val="548C678B"/>
    <w:rsid w:val="54905199"/>
    <w:rsid w:val="54914216"/>
    <w:rsid w:val="549273A9"/>
    <w:rsid w:val="549405C7"/>
    <w:rsid w:val="54972DB4"/>
    <w:rsid w:val="549D6C55"/>
    <w:rsid w:val="54CA07F6"/>
    <w:rsid w:val="54E979F3"/>
    <w:rsid w:val="54EF0774"/>
    <w:rsid w:val="54F2448F"/>
    <w:rsid w:val="54FE2E33"/>
    <w:rsid w:val="54FF3EA3"/>
    <w:rsid w:val="550B2DC8"/>
    <w:rsid w:val="551E1403"/>
    <w:rsid w:val="552038EC"/>
    <w:rsid w:val="5520724E"/>
    <w:rsid w:val="552A00CC"/>
    <w:rsid w:val="5540169E"/>
    <w:rsid w:val="55466588"/>
    <w:rsid w:val="5547793A"/>
    <w:rsid w:val="554C32B2"/>
    <w:rsid w:val="55501E76"/>
    <w:rsid w:val="55701D69"/>
    <w:rsid w:val="55731E3E"/>
    <w:rsid w:val="557A0272"/>
    <w:rsid w:val="557E29D7"/>
    <w:rsid w:val="558F2195"/>
    <w:rsid w:val="55900035"/>
    <w:rsid w:val="559455FC"/>
    <w:rsid w:val="55AF798B"/>
    <w:rsid w:val="55CA70E8"/>
    <w:rsid w:val="55ED4967"/>
    <w:rsid w:val="55F350C4"/>
    <w:rsid w:val="55FD2F0B"/>
    <w:rsid w:val="561B14C6"/>
    <w:rsid w:val="561B7A15"/>
    <w:rsid w:val="56247722"/>
    <w:rsid w:val="56342FDD"/>
    <w:rsid w:val="56467B64"/>
    <w:rsid w:val="565626F9"/>
    <w:rsid w:val="565671A2"/>
    <w:rsid w:val="56685CA8"/>
    <w:rsid w:val="56694C24"/>
    <w:rsid w:val="56740DC7"/>
    <w:rsid w:val="56753961"/>
    <w:rsid w:val="5677558B"/>
    <w:rsid w:val="569C2904"/>
    <w:rsid w:val="56AA3219"/>
    <w:rsid w:val="56B7174F"/>
    <w:rsid w:val="56CF2574"/>
    <w:rsid w:val="56CF424D"/>
    <w:rsid w:val="56DE4C00"/>
    <w:rsid w:val="570847EE"/>
    <w:rsid w:val="57212E09"/>
    <w:rsid w:val="572763D8"/>
    <w:rsid w:val="57297951"/>
    <w:rsid w:val="573270B5"/>
    <w:rsid w:val="57331689"/>
    <w:rsid w:val="57443B56"/>
    <w:rsid w:val="57614844"/>
    <w:rsid w:val="57664CC0"/>
    <w:rsid w:val="576A00D2"/>
    <w:rsid w:val="576A530D"/>
    <w:rsid w:val="57971A40"/>
    <w:rsid w:val="579E4D2D"/>
    <w:rsid w:val="57A24175"/>
    <w:rsid w:val="57B75717"/>
    <w:rsid w:val="57B91378"/>
    <w:rsid w:val="57C470D2"/>
    <w:rsid w:val="57C77E19"/>
    <w:rsid w:val="57CA488B"/>
    <w:rsid w:val="57DA0118"/>
    <w:rsid w:val="57DB3900"/>
    <w:rsid w:val="57DB47FB"/>
    <w:rsid w:val="57F131F8"/>
    <w:rsid w:val="57FB18AC"/>
    <w:rsid w:val="580846BB"/>
    <w:rsid w:val="5816050F"/>
    <w:rsid w:val="581D5CC6"/>
    <w:rsid w:val="58205F1A"/>
    <w:rsid w:val="582468CD"/>
    <w:rsid w:val="582840C5"/>
    <w:rsid w:val="583074F9"/>
    <w:rsid w:val="583515AC"/>
    <w:rsid w:val="584B45E2"/>
    <w:rsid w:val="584C2587"/>
    <w:rsid w:val="585127AA"/>
    <w:rsid w:val="585D5314"/>
    <w:rsid w:val="58603D47"/>
    <w:rsid w:val="58660CE3"/>
    <w:rsid w:val="58743A0C"/>
    <w:rsid w:val="58795D80"/>
    <w:rsid w:val="58BB3CCE"/>
    <w:rsid w:val="58C97BB5"/>
    <w:rsid w:val="58CD3249"/>
    <w:rsid w:val="58DE0E81"/>
    <w:rsid w:val="58E14F7F"/>
    <w:rsid w:val="59125866"/>
    <w:rsid w:val="5915352F"/>
    <w:rsid w:val="59183E6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BF6EE5"/>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7E3799"/>
    <w:rsid w:val="5A81253D"/>
    <w:rsid w:val="5A873ECB"/>
    <w:rsid w:val="5A934A0F"/>
    <w:rsid w:val="5A957C98"/>
    <w:rsid w:val="5A9E6D6F"/>
    <w:rsid w:val="5AAC50E0"/>
    <w:rsid w:val="5AAD60EA"/>
    <w:rsid w:val="5AB61DE0"/>
    <w:rsid w:val="5ACB527F"/>
    <w:rsid w:val="5AD7761B"/>
    <w:rsid w:val="5AE1122D"/>
    <w:rsid w:val="5AE8436A"/>
    <w:rsid w:val="5AF80AC2"/>
    <w:rsid w:val="5AFE3E43"/>
    <w:rsid w:val="5B072DB6"/>
    <w:rsid w:val="5B19492B"/>
    <w:rsid w:val="5B233465"/>
    <w:rsid w:val="5B2630E4"/>
    <w:rsid w:val="5B506B61"/>
    <w:rsid w:val="5B5F0F2E"/>
    <w:rsid w:val="5B667984"/>
    <w:rsid w:val="5B6B796C"/>
    <w:rsid w:val="5B7C0F56"/>
    <w:rsid w:val="5B8F78B9"/>
    <w:rsid w:val="5B9808C1"/>
    <w:rsid w:val="5BA32ED4"/>
    <w:rsid w:val="5BB10CB2"/>
    <w:rsid w:val="5BC16A09"/>
    <w:rsid w:val="5BC86C25"/>
    <w:rsid w:val="5C012CC6"/>
    <w:rsid w:val="5C3B496D"/>
    <w:rsid w:val="5C503DE0"/>
    <w:rsid w:val="5C5435D1"/>
    <w:rsid w:val="5C5C5BA5"/>
    <w:rsid w:val="5C6C0FCA"/>
    <w:rsid w:val="5C8005D2"/>
    <w:rsid w:val="5C8C4702"/>
    <w:rsid w:val="5C936557"/>
    <w:rsid w:val="5C943DBC"/>
    <w:rsid w:val="5C997625"/>
    <w:rsid w:val="5CA46513"/>
    <w:rsid w:val="5CA51446"/>
    <w:rsid w:val="5CA57080"/>
    <w:rsid w:val="5CA77E21"/>
    <w:rsid w:val="5CAF0BE0"/>
    <w:rsid w:val="5CB458BA"/>
    <w:rsid w:val="5CDC782C"/>
    <w:rsid w:val="5CDF3569"/>
    <w:rsid w:val="5CE23DAC"/>
    <w:rsid w:val="5CE73917"/>
    <w:rsid w:val="5D0A73AF"/>
    <w:rsid w:val="5D120F26"/>
    <w:rsid w:val="5D1F603D"/>
    <w:rsid w:val="5D376039"/>
    <w:rsid w:val="5D3E31E9"/>
    <w:rsid w:val="5D436E42"/>
    <w:rsid w:val="5D63667B"/>
    <w:rsid w:val="5D6F2EDA"/>
    <w:rsid w:val="5D753EAF"/>
    <w:rsid w:val="5D783847"/>
    <w:rsid w:val="5D83037A"/>
    <w:rsid w:val="5D9941C1"/>
    <w:rsid w:val="5DA570B1"/>
    <w:rsid w:val="5DA92832"/>
    <w:rsid w:val="5DAE502B"/>
    <w:rsid w:val="5DB466F3"/>
    <w:rsid w:val="5DB915F2"/>
    <w:rsid w:val="5DBC60F3"/>
    <w:rsid w:val="5DCB1D21"/>
    <w:rsid w:val="5DCD5A99"/>
    <w:rsid w:val="5DDA5440"/>
    <w:rsid w:val="5DDD5947"/>
    <w:rsid w:val="5DDF393D"/>
    <w:rsid w:val="5DDF6E4E"/>
    <w:rsid w:val="5DF9688E"/>
    <w:rsid w:val="5DFA49E0"/>
    <w:rsid w:val="5E1D0F80"/>
    <w:rsid w:val="5E1F3B6D"/>
    <w:rsid w:val="5E224037"/>
    <w:rsid w:val="5E352C38"/>
    <w:rsid w:val="5E3E40FF"/>
    <w:rsid w:val="5E40706E"/>
    <w:rsid w:val="5E4C1080"/>
    <w:rsid w:val="5E4E1C8A"/>
    <w:rsid w:val="5E4F4071"/>
    <w:rsid w:val="5E5D7A78"/>
    <w:rsid w:val="5E6006BB"/>
    <w:rsid w:val="5E7833A1"/>
    <w:rsid w:val="5E8274BA"/>
    <w:rsid w:val="5E84136F"/>
    <w:rsid w:val="5E8530EF"/>
    <w:rsid w:val="5EA06D09"/>
    <w:rsid w:val="5EA53C9A"/>
    <w:rsid w:val="5EB822A5"/>
    <w:rsid w:val="5EBC7F37"/>
    <w:rsid w:val="5ECE7D1A"/>
    <w:rsid w:val="5ED36C86"/>
    <w:rsid w:val="5EDA60B0"/>
    <w:rsid w:val="5EE35A57"/>
    <w:rsid w:val="5F1645A7"/>
    <w:rsid w:val="5F49114F"/>
    <w:rsid w:val="5F6A54DD"/>
    <w:rsid w:val="5F815969"/>
    <w:rsid w:val="5F8B4FA7"/>
    <w:rsid w:val="5F9B72D1"/>
    <w:rsid w:val="5FAB0A44"/>
    <w:rsid w:val="5FB17C29"/>
    <w:rsid w:val="5FB34738"/>
    <w:rsid w:val="5FB95E1C"/>
    <w:rsid w:val="5FC353A5"/>
    <w:rsid w:val="5FC85F82"/>
    <w:rsid w:val="5FCB3FE5"/>
    <w:rsid w:val="5FDC5EDE"/>
    <w:rsid w:val="5FEB2206"/>
    <w:rsid w:val="5FED772C"/>
    <w:rsid w:val="5FF97EAE"/>
    <w:rsid w:val="5FFA117E"/>
    <w:rsid w:val="60155C27"/>
    <w:rsid w:val="60162D11"/>
    <w:rsid w:val="601A6070"/>
    <w:rsid w:val="60226F8B"/>
    <w:rsid w:val="603B4F3C"/>
    <w:rsid w:val="60477ABF"/>
    <w:rsid w:val="604B06AE"/>
    <w:rsid w:val="60526566"/>
    <w:rsid w:val="605B738C"/>
    <w:rsid w:val="607F756F"/>
    <w:rsid w:val="60917251"/>
    <w:rsid w:val="60982996"/>
    <w:rsid w:val="60A96E90"/>
    <w:rsid w:val="60C53D01"/>
    <w:rsid w:val="60C9018D"/>
    <w:rsid w:val="60DA12FD"/>
    <w:rsid w:val="61012C93"/>
    <w:rsid w:val="61053FC5"/>
    <w:rsid w:val="610C088E"/>
    <w:rsid w:val="610C1F3F"/>
    <w:rsid w:val="61465D10"/>
    <w:rsid w:val="614A03E6"/>
    <w:rsid w:val="61531A50"/>
    <w:rsid w:val="61532201"/>
    <w:rsid w:val="615838CB"/>
    <w:rsid w:val="61651210"/>
    <w:rsid w:val="61666018"/>
    <w:rsid w:val="616B46BB"/>
    <w:rsid w:val="616E1CFF"/>
    <w:rsid w:val="616E5EB6"/>
    <w:rsid w:val="617526CF"/>
    <w:rsid w:val="618560EB"/>
    <w:rsid w:val="618E3791"/>
    <w:rsid w:val="619743F4"/>
    <w:rsid w:val="619B5D77"/>
    <w:rsid w:val="61B10243"/>
    <w:rsid w:val="61BB2DD9"/>
    <w:rsid w:val="61C00B2F"/>
    <w:rsid w:val="61C3411F"/>
    <w:rsid w:val="61DD1B9A"/>
    <w:rsid w:val="61E136F6"/>
    <w:rsid w:val="61F4426B"/>
    <w:rsid w:val="61F83805"/>
    <w:rsid w:val="62022776"/>
    <w:rsid w:val="6205764C"/>
    <w:rsid w:val="62065A1D"/>
    <w:rsid w:val="621F13DC"/>
    <w:rsid w:val="62256C85"/>
    <w:rsid w:val="623600B0"/>
    <w:rsid w:val="62562501"/>
    <w:rsid w:val="6256299E"/>
    <w:rsid w:val="62574D95"/>
    <w:rsid w:val="62583769"/>
    <w:rsid w:val="62586747"/>
    <w:rsid w:val="626C60B7"/>
    <w:rsid w:val="62746498"/>
    <w:rsid w:val="627A6223"/>
    <w:rsid w:val="62922E0D"/>
    <w:rsid w:val="62982A5C"/>
    <w:rsid w:val="62CB6D60"/>
    <w:rsid w:val="62E358B2"/>
    <w:rsid w:val="62EA49F7"/>
    <w:rsid w:val="62F154C5"/>
    <w:rsid w:val="62FD0A5D"/>
    <w:rsid w:val="63162338"/>
    <w:rsid w:val="632036E4"/>
    <w:rsid w:val="63232EB3"/>
    <w:rsid w:val="63267478"/>
    <w:rsid w:val="633D315E"/>
    <w:rsid w:val="63504ABF"/>
    <w:rsid w:val="63517786"/>
    <w:rsid w:val="636447A9"/>
    <w:rsid w:val="637052D7"/>
    <w:rsid w:val="638438AF"/>
    <w:rsid w:val="6388739F"/>
    <w:rsid w:val="6389099E"/>
    <w:rsid w:val="63894210"/>
    <w:rsid w:val="63954DAA"/>
    <w:rsid w:val="639E415F"/>
    <w:rsid w:val="63C74AA3"/>
    <w:rsid w:val="63D87748"/>
    <w:rsid w:val="63DE2EEF"/>
    <w:rsid w:val="63E8362C"/>
    <w:rsid w:val="63F16145"/>
    <w:rsid w:val="64024CFF"/>
    <w:rsid w:val="64090D72"/>
    <w:rsid w:val="641D22DD"/>
    <w:rsid w:val="64426DE8"/>
    <w:rsid w:val="645B3151"/>
    <w:rsid w:val="646A170C"/>
    <w:rsid w:val="64701038"/>
    <w:rsid w:val="64722EF6"/>
    <w:rsid w:val="64797A3F"/>
    <w:rsid w:val="647B4B09"/>
    <w:rsid w:val="647B6F79"/>
    <w:rsid w:val="64815AEE"/>
    <w:rsid w:val="648937A8"/>
    <w:rsid w:val="648B1BA9"/>
    <w:rsid w:val="648D0F64"/>
    <w:rsid w:val="64907D0F"/>
    <w:rsid w:val="649449E8"/>
    <w:rsid w:val="649D5D6D"/>
    <w:rsid w:val="64A9391A"/>
    <w:rsid w:val="64AF7CA6"/>
    <w:rsid w:val="64C455F4"/>
    <w:rsid w:val="64D77B16"/>
    <w:rsid w:val="64F55A2C"/>
    <w:rsid w:val="64F953C5"/>
    <w:rsid w:val="651B533C"/>
    <w:rsid w:val="651E27DC"/>
    <w:rsid w:val="65206DF6"/>
    <w:rsid w:val="65291D8F"/>
    <w:rsid w:val="65570D94"/>
    <w:rsid w:val="655774EE"/>
    <w:rsid w:val="65736F26"/>
    <w:rsid w:val="65795592"/>
    <w:rsid w:val="65A10F4D"/>
    <w:rsid w:val="65A93335"/>
    <w:rsid w:val="65B51681"/>
    <w:rsid w:val="65B765E2"/>
    <w:rsid w:val="65BC5BDE"/>
    <w:rsid w:val="65CB4FB4"/>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BA3EC8"/>
    <w:rsid w:val="66D1442C"/>
    <w:rsid w:val="66D47E7F"/>
    <w:rsid w:val="66D64E5B"/>
    <w:rsid w:val="66DD089D"/>
    <w:rsid w:val="66DD4F9F"/>
    <w:rsid w:val="66DE592A"/>
    <w:rsid w:val="66E63727"/>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8952B2"/>
    <w:rsid w:val="679D31F9"/>
    <w:rsid w:val="679D3BF4"/>
    <w:rsid w:val="679D472E"/>
    <w:rsid w:val="67A41618"/>
    <w:rsid w:val="67AE4749"/>
    <w:rsid w:val="67C56A11"/>
    <w:rsid w:val="67DC3A63"/>
    <w:rsid w:val="67E071EA"/>
    <w:rsid w:val="67E33E17"/>
    <w:rsid w:val="67FC4971"/>
    <w:rsid w:val="680C2DD0"/>
    <w:rsid w:val="68152516"/>
    <w:rsid w:val="68221BAF"/>
    <w:rsid w:val="682D62D9"/>
    <w:rsid w:val="684C3086"/>
    <w:rsid w:val="685143BC"/>
    <w:rsid w:val="68542A0A"/>
    <w:rsid w:val="68555296"/>
    <w:rsid w:val="685A68BE"/>
    <w:rsid w:val="686C1E80"/>
    <w:rsid w:val="687E455F"/>
    <w:rsid w:val="68816836"/>
    <w:rsid w:val="689079C3"/>
    <w:rsid w:val="689A2A1B"/>
    <w:rsid w:val="68B95597"/>
    <w:rsid w:val="68D46A71"/>
    <w:rsid w:val="68D56910"/>
    <w:rsid w:val="68EF70C5"/>
    <w:rsid w:val="68F22D9F"/>
    <w:rsid w:val="69162C86"/>
    <w:rsid w:val="69180AD7"/>
    <w:rsid w:val="69214083"/>
    <w:rsid w:val="69456B9A"/>
    <w:rsid w:val="69481344"/>
    <w:rsid w:val="695700E3"/>
    <w:rsid w:val="6980516E"/>
    <w:rsid w:val="698B51FD"/>
    <w:rsid w:val="699024A8"/>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25119"/>
    <w:rsid w:val="6A4620BF"/>
    <w:rsid w:val="6A4D5F32"/>
    <w:rsid w:val="6A4F12CD"/>
    <w:rsid w:val="6A503532"/>
    <w:rsid w:val="6A5D65D9"/>
    <w:rsid w:val="6A653139"/>
    <w:rsid w:val="6A6908F7"/>
    <w:rsid w:val="6A722F0B"/>
    <w:rsid w:val="6A7A4D5B"/>
    <w:rsid w:val="6A7E7518"/>
    <w:rsid w:val="6A825953"/>
    <w:rsid w:val="6A881C38"/>
    <w:rsid w:val="6A8A11E6"/>
    <w:rsid w:val="6A8B2F63"/>
    <w:rsid w:val="6A955B90"/>
    <w:rsid w:val="6A9C6F1F"/>
    <w:rsid w:val="6AC034F3"/>
    <w:rsid w:val="6AC96987"/>
    <w:rsid w:val="6AD24017"/>
    <w:rsid w:val="6AD42C61"/>
    <w:rsid w:val="6AE14092"/>
    <w:rsid w:val="6AEA323D"/>
    <w:rsid w:val="6AF07997"/>
    <w:rsid w:val="6AF5032D"/>
    <w:rsid w:val="6AFB2812"/>
    <w:rsid w:val="6AFF182D"/>
    <w:rsid w:val="6B032C8C"/>
    <w:rsid w:val="6B0F64B4"/>
    <w:rsid w:val="6B243303"/>
    <w:rsid w:val="6B351D0A"/>
    <w:rsid w:val="6B3569BE"/>
    <w:rsid w:val="6B3A1CE8"/>
    <w:rsid w:val="6B3E4E41"/>
    <w:rsid w:val="6B462B1F"/>
    <w:rsid w:val="6B4D49EF"/>
    <w:rsid w:val="6B556078"/>
    <w:rsid w:val="6B565CD0"/>
    <w:rsid w:val="6B68013D"/>
    <w:rsid w:val="6B7022D0"/>
    <w:rsid w:val="6B7B5422"/>
    <w:rsid w:val="6B852192"/>
    <w:rsid w:val="6B925A32"/>
    <w:rsid w:val="6B9C4F5E"/>
    <w:rsid w:val="6BA92B5A"/>
    <w:rsid w:val="6BB42760"/>
    <w:rsid w:val="6BD37065"/>
    <w:rsid w:val="6BDB3A77"/>
    <w:rsid w:val="6BE13B5E"/>
    <w:rsid w:val="6BE31674"/>
    <w:rsid w:val="6BE95EA9"/>
    <w:rsid w:val="6BEA6094"/>
    <w:rsid w:val="6C114575"/>
    <w:rsid w:val="6C2A7712"/>
    <w:rsid w:val="6C3E2214"/>
    <w:rsid w:val="6C427652"/>
    <w:rsid w:val="6C4D48CD"/>
    <w:rsid w:val="6C5F6456"/>
    <w:rsid w:val="6C643A6C"/>
    <w:rsid w:val="6C661592"/>
    <w:rsid w:val="6C8202CD"/>
    <w:rsid w:val="6C8639E2"/>
    <w:rsid w:val="6C961621"/>
    <w:rsid w:val="6C9D5038"/>
    <w:rsid w:val="6CBB7DE1"/>
    <w:rsid w:val="6CC445CB"/>
    <w:rsid w:val="6CD042ED"/>
    <w:rsid w:val="6CDA2357"/>
    <w:rsid w:val="6CE8212C"/>
    <w:rsid w:val="6CED6224"/>
    <w:rsid w:val="6CF01775"/>
    <w:rsid w:val="6CFB62C0"/>
    <w:rsid w:val="6CFD7CAA"/>
    <w:rsid w:val="6D026DE8"/>
    <w:rsid w:val="6D0316B2"/>
    <w:rsid w:val="6D087337"/>
    <w:rsid w:val="6D0E1321"/>
    <w:rsid w:val="6D104BE0"/>
    <w:rsid w:val="6D132371"/>
    <w:rsid w:val="6D1338DD"/>
    <w:rsid w:val="6D153789"/>
    <w:rsid w:val="6D206DC5"/>
    <w:rsid w:val="6D3B4D97"/>
    <w:rsid w:val="6D487B73"/>
    <w:rsid w:val="6D4A2408"/>
    <w:rsid w:val="6D4B1E5A"/>
    <w:rsid w:val="6D54588F"/>
    <w:rsid w:val="6D5E70E9"/>
    <w:rsid w:val="6D6729D8"/>
    <w:rsid w:val="6D6E09F2"/>
    <w:rsid w:val="6D852386"/>
    <w:rsid w:val="6DBD67AE"/>
    <w:rsid w:val="6DCF3167"/>
    <w:rsid w:val="6DD54C21"/>
    <w:rsid w:val="6DD8026E"/>
    <w:rsid w:val="6DF453C2"/>
    <w:rsid w:val="6DFC1EB9"/>
    <w:rsid w:val="6E0C170B"/>
    <w:rsid w:val="6E25722B"/>
    <w:rsid w:val="6E315BD0"/>
    <w:rsid w:val="6E3363CE"/>
    <w:rsid w:val="6E3C316F"/>
    <w:rsid w:val="6E453429"/>
    <w:rsid w:val="6E456275"/>
    <w:rsid w:val="6E4E36BD"/>
    <w:rsid w:val="6E5161B1"/>
    <w:rsid w:val="6E6127F4"/>
    <w:rsid w:val="6E631ECC"/>
    <w:rsid w:val="6E860D5E"/>
    <w:rsid w:val="6E880670"/>
    <w:rsid w:val="6E9028F6"/>
    <w:rsid w:val="6EA81F5F"/>
    <w:rsid w:val="6EB7522E"/>
    <w:rsid w:val="6EC002E5"/>
    <w:rsid w:val="6EC64ECD"/>
    <w:rsid w:val="6EC71F62"/>
    <w:rsid w:val="6ECD2CED"/>
    <w:rsid w:val="6EE1422E"/>
    <w:rsid w:val="6EE449F0"/>
    <w:rsid w:val="6EF14DB2"/>
    <w:rsid w:val="6EFA06B8"/>
    <w:rsid w:val="6F046E40"/>
    <w:rsid w:val="6F1743AC"/>
    <w:rsid w:val="6F3E2352"/>
    <w:rsid w:val="6F4656AB"/>
    <w:rsid w:val="6F5C1867"/>
    <w:rsid w:val="6F5C3F48"/>
    <w:rsid w:val="6F61462B"/>
    <w:rsid w:val="6F6D6714"/>
    <w:rsid w:val="6F8561D3"/>
    <w:rsid w:val="6F926B42"/>
    <w:rsid w:val="6F9C2017"/>
    <w:rsid w:val="6FAA5FFD"/>
    <w:rsid w:val="6FB37BE5"/>
    <w:rsid w:val="6FBB1BF5"/>
    <w:rsid w:val="6FC2450B"/>
    <w:rsid w:val="6FC7059A"/>
    <w:rsid w:val="6FCA64CD"/>
    <w:rsid w:val="6FE112C4"/>
    <w:rsid w:val="6FF069FB"/>
    <w:rsid w:val="6FF36A80"/>
    <w:rsid w:val="6FFB0619"/>
    <w:rsid w:val="6FFD7D02"/>
    <w:rsid w:val="6FFE5F86"/>
    <w:rsid w:val="70020E6A"/>
    <w:rsid w:val="700D7F77"/>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0DB6936"/>
    <w:rsid w:val="71027F8C"/>
    <w:rsid w:val="710A0DE2"/>
    <w:rsid w:val="71290DE0"/>
    <w:rsid w:val="712A4901"/>
    <w:rsid w:val="7134264D"/>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2697"/>
    <w:rsid w:val="71E258E0"/>
    <w:rsid w:val="71E371E1"/>
    <w:rsid w:val="71E450CA"/>
    <w:rsid w:val="71EA7F5E"/>
    <w:rsid w:val="71EE0EE5"/>
    <w:rsid w:val="71F773F9"/>
    <w:rsid w:val="71FB452B"/>
    <w:rsid w:val="72025ED5"/>
    <w:rsid w:val="720A7322"/>
    <w:rsid w:val="72137E38"/>
    <w:rsid w:val="721C41A5"/>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40A39"/>
    <w:rsid w:val="7375174D"/>
    <w:rsid w:val="73795D83"/>
    <w:rsid w:val="737B6EF7"/>
    <w:rsid w:val="73850D73"/>
    <w:rsid w:val="738B56FD"/>
    <w:rsid w:val="738B5D82"/>
    <w:rsid w:val="73911760"/>
    <w:rsid w:val="73993FFB"/>
    <w:rsid w:val="739F2E93"/>
    <w:rsid w:val="73A60FE9"/>
    <w:rsid w:val="73B21B10"/>
    <w:rsid w:val="73B8143C"/>
    <w:rsid w:val="73C06788"/>
    <w:rsid w:val="73D813D5"/>
    <w:rsid w:val="73DB1F8F"/>
    <w:rsid w:val="73DE1B70"/>
    <w:rsid w:val="73E6120B"/>
    <w:rsid w:val="741378E4"/>
    <w:rsid w:val="74213FF1"/>
    <w:rsid w:val="743138C9"/>
    <w:rsid w:val="74346455"/>
    <w:rsid w:val="74497E8D"/>
    <w:rsid w:val="744F70D5"/>
    <w:rsid w:val="74542618"/>
    <w:rsid w:val="746B1062"/>
    <w:rsid w:val="74836A59"/>
    <w:rsid w:val="74890514"/>
    <w:rsid w:val="748922C2"/>
    <w:rsid w:val="74957A1D"/>
    <w:rsid w:val="74976F8C"/>
    <w:rsid w:val="749A7D0E"/>
    <w:rsid w:val="749C28D6"/>
    <w:rsid w:val="74AC2DBE"/>
    <w:rsid w:val="74B03CF2"/>
    <w:rsid w:val="74B4279D"/>
    <w:rsid w:val="74C959EF"/>
    <w:rsid w:val="74D13C69"/>
    <w:rsid w:val="74D226D8"/>
    <w:rsid w:val="74D42A08"/>
    <w:rsid w:val="74D951DD"/>
    <w:rsid w:val="74E36253"/>
    <w:rsid w:val="74F273DA"/>
    <w:rsid w:val="74F600B5"/>
    <w:rsid w:val="750C6A4F"/>
    <w:rsid w:val="75102AF5"/>
    <w:rsid w:val="751C1B98"/>
    <w:rsid w:val="751C3CCD"/>
    <w:rsid w:val="752E2E69"/>
    <w:rsid w:val="753F1C14"/>
    <w:rsid w:val="75404D65"/>
    <w:rsid w:val="75410DEE"/>
    <w:rsid w:val="754B45FC"/>
    <w:rsid w:val="754C4FE3"/>
    <w:rsid w:val="75780005"/>
    <w:rsid w:val="75846F2D"/>
    <w:rsid w:val="758E56B6"/>
    <w:rsid w:val="75930F1E"/>
    <w:rsid w:val="759D26FD"/>
    <w:rsid w:val="75A847A4"/>
    <w:rsid w:val="75BA7DC9"/>
    <w:rsid w:val="75C158E1"/>
    <w:rsid w:val="75D75BBF"/>
    <w:rsid w:val="75F25C45"/>
    <w:rsid w:val="75F8173D"/>
    <w:rsid w:val="75FE15A4"/>
    <w:rsid w:val="76027B21"/>
    <w:rsid w:val="76087EFE"/>
    <w:rsid w:val="76157B85"/>
    <w:rsid w:val="762164BD"/>
    <w:rsid w:val="762F3987"/>
    <w:rsid w:val="763146BA"/>
    <w:rsid w:val="76373F9F"/>
    <w:rsid w:val="763C17CD"/>
    <w:rsid w:val="7651209F"/>
    <w:rsid w:val="765A396A"/>
    <w:rsid w:val="765B5EE0"/>
    <w:rsid w:val="76625186"/>
    <w:rsid w:val="76694515"/>
    <w:rsid w:val="7671183A"/>
    <w:rsid w:val="7671205E"/>
    <w:rsid w:val="76795A9A"/>
    <w:rsid w:val="76850BE3"/>
    <w:rsid w:val="7687606F"/>
    <w:rsid w:val="768E7AAD"/>
    <w:rsid w:val="769D37DC"/>
    <w:rsid w:val="76AD1FDF"/>
    <w:rsid w:val="76AF483A"/>
    <w:rsid w:val="76C37C6F"/>
    <w:rsid w:val="76C61386"/>
    <w:rsid w:val="76CF1D13"/>
    <w:rsid w:val="76D56664"/>
    <w:rsid w:val="76E41A31"/>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814CA"/>
    <w:rsid w:val="777B5097"/>
    <w:rsid w:val="777E55F4"/>
    <w:rsid w:val="777F79AC"/>
    <w:rsid w:val="77820DEB"/>
    <w:rsid w:val="7792671F"/>
    <w:rsid w:val="7797445D"/>
    <w:rsid w:val="77986D62"/>
    <w:rsid w:val="779905B2"/>
    <w:rsid w:val="77A015C8"/>
    <w:rsid w:val="77A92E90"/>
    <w:rsid w:val="77B650A0"/>
    <w:rsid w:val="77CE0481"/>
    <w:rsid w:val="77E43CB3"/>
    <w:rsid w:val="77EC7456"/>
    <w:rsid w:val="77EE7D89"/>
    <w:rsid w:val="77EF0483"/>
    <w:rsid w:val="77F13E57"/>
    <w:rsid w:val="77F54C8C"/>
    <w:rsid w:val="7803238B"/>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933114"/>
    <w:rsid w:val="78AA2807"/>
    <w:rsid w:val="78B20233"/>
    <w:rsid w:val="78D12FAA"/>
    <w:rsid w:val="78D855C6"/>
    <w:rsid w:val="78FC0536"/>
    <w:rsid w:val="78FE7954"/>
    <w:rsid w:val="792C4CC9"/>
    <w:rsid w:val="79315979"/>
    <w:rsid w:val="79424F4F"/>
    <w:rsid w:val="795831E5"/>
    <w:rsid w:val="795A5FDB"/>
    <w:rsid w:val="796E7E54"/>
    <w:rsid w:val="79756315"/>
    <w:rsid w:val="79765CDA"/>
    <w:rsid w:val="797C76D7"/>
    <w:rsid w:val="798B6ADC"/>
    <w:rsid w:val="79971D97"/>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EE3815"/>
    <w:rsid w:val="7AEF423F"/>
    <w:rsid w:val="7AF32BF3"/>
    <w:rsid w:val="7AF771AA"/>
    <w:rsid w:val="7B063D79"/>
    <w:rsid w:val="7B095F0A"/>
    <w:rsid w:val="7B116B6D"/>
    <w:rsid w:val="7B190BA4"/>
    <w:rsid w:val="7B2A3D4A"/>
    <w:rsid w:val="7B332F87"/>
    <w:rsid w:val="7B334D35"/>
    <w:rsid w:val="7B36137C"/>
    <w:rsid w:val="7B3A2568"/>
    <w:rsid w:val="7B486307"/>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81FC4"/>
    <w:rsid w:val="7BE91898"/>
    <w:rsid w:val="7BF72207"/>
    <w:rsid w:val="7C161B08"/>
    <w:rsid w:val="7C3A2FA7"/>
    <w:rsid w:val="7C541407"/>
    <w:rsid w:val="7C5840BF"/>
    <w:rsid w:val="7C6D071B"/>
    <w:rsid w:val="7C7750F6"/>
    <w:rsid w:val="7C84107F"/>
    <w:rsid w:val="7C8B294F"/>
    <w:rsid w:val="7C9909ED"/>
    <w:rsid w:val="7C9C2291"/>
    <w:rsid w:val="7CA46921"/>
    <w:rsid w:val="7CA56991"/>
    <w:rsid w:val="7CA71E0B"/>
    <w:rsid w:val="7CB85E09"/>
    <w:rsid w:val="7CFE3A42"/>
    <w:rsid w:val="7CFF1519"/>
    <w:rsid w:val="7CFF7755"/>
    <w:rsid w:val="7D013878"/>
    <w:rsid w:val="7D0F508E"/>
    <w:rsid w:val="7D17450A"/>
    <w:rsid w:val="7D1943FF"/>
    <w:rsid w:val="7D2557AC"/>
    <w:rsid w:val="7D3F099E"/>
    <w:rsid w:val="7D4B01E2"/>
    <w:rsid w:val="7D4F0DA7"/>
    <w:rsid w:val="7D4F1BCF"/>
    <w:rsid w:val="7D533A52"/>
    <w:rsid w:val="7D5B43D0"/>
    <w:rsid w:val="7D6243C6"/>
    <w:rsid w:val="7D76523E"/>
    <w:rsid w:val="7D78086B"/>
    <w:rsid w:val="7D781E69"/>
    <w:rsid w:val="7D7B5075"/>
    <w:rsid w:val="7D832173"/>
    <w:rsid w:val="7D8A3C14"/>
    <w:rsid w:val="7D8C5B06"/>
    <w:rsid w:val="7D934401"/>
    <w:rsid w:val="7D953960"/>
    <w:rsid w:val="7D961406"/>
    <w:rsid w:val="7DA05D3C"/>
    <w:rsid w:val="7DA56991"/>
    <w:rsid w:val="7DA623C2"/>
    <w:rsid w:val="7DA737B9"/>
    <w:rsid w:val="7DB639FC"/>
    <w:rsid w:val="7DC425BD"/>
    <w:rsid w:val="7DFF0E02"/>
    <w:rsid w:val="7E037786"/>
    <w:rsid w:val="7E070C8C"/>
    <w:rsid w:val="7E0800A0"/>
    <w:rsid w:val="7E0C521E"/>
    <w:rsid w:val="7E0E7E19"/>
    <w:rsid w:val="7E1840CC"/>
    <w:rsid w:val="7E1964D0"/>
    <w:rsid w:val="7E2A3B50"/>
    <w:rsid w:val="7E303249"/>
    <w:rsid w:val="7E525E1A"/>
    <w:rsid w:val="7E555123"/>
    <w:rsid w:val="7E557656"/>
    <w:rsid w:val="7E670D79"/>
    <w:rsid w:val="7E7538B7"/>
    <w:rsid w:val="7E841CD2"/>
    <w:rsid w:val="7E844BCE"/>
    <w:rsid w:val="7E8B4E88"/>
    <w:rsid w:val="7E8D660B"/>
    <w:rsid w:val="7E920963"/>
    <w:rsid w:val="7E9433D2"/>
    <w:rsid w:val="7E992085"/>
    <w:rsid w:val="7EB47F46"/>
    <w:rsid w:val="7EB94600"/>
    <w:rsid w:val="7ECE52DF"/>
    <w:rsid w:val="7ECF7C45"/>
    <w:rsid w:val="7ED82860"/>
    <w:rsid w:val="7EED4BDD"/>
    <w:rsid w:val="7EF45DB1"/>
    <w:rsid w:val="7EFD2358"/>
    <w:rsid w:val="7EFF5324"/>
    <w:rsid w:val="7F03165A"/>
    <w:rsid w:val="7F077A20"/>
    <w:rsid w:val="7F077BC2"/>
    <w:rsid w:val="7F09267A"/>
    <w:rsid w:val="7F1A681E"/>
    <w:rsid w:val="7F2B23E6"/>
    <w:rsid w:val="7F2B4123"/>
    <w:rsid w:val="7F2C666B"/>
    <w:rsid w:val="7F3426C9"/>
    <w:rsid w:val="7F3E0944"/>
    <w:rsid w:val="7F3E5DC7"/>
    <w:rsid w:val="7F437894"/>
    <w:rsid w:val="7F5C2ED4"/>
    <w:rsid w:val="7F5E061E"/>
    <w:rsid w:val="7F643B5C"/>
    <w:rsid w:val="7F7F2B17"/>
    <w:rsid w:val="7F8A3D01"/>
    <w:rsid w:val="7F8B6823"/>
    <w:rsid w:val="7F9B25D3"/>
    <w:rsid w:val="7F9C4EBD"/>
    <w:rsid w:val="7FAD310E"/>
    <w:rsid w:val="7FCD6742"/>
    <w:rsid w:val="7FD83999"/>
    <w:rsid w:val="7FE44850"/>
    <w:rsid w:val="7FE546A7"/>
    <w:rsid w:val="7FE5681A"/>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65"/>
    <w:autoRedefine/>
    <w:qFormat/>
    <w:uiPriority w:val="0"/>
    <w:pPr>
      <w:keepNext/>
      <w:keepLines/>
      <w:spacing w:line="440" w:lineRule="exact"/>
      <w:jc w:val="center"/>
      <w:outlineLvl w:val="0"/>
    </w:pPr>
    <w:rPr>
      <w:b/>
      <w:bCs/>
      <w:kern w:val="44"/>
      <w:sz w:val="44"/>
      <w:szCs w:val="44"/>
    </w:rPr>
  </w:style>
  <w:style w:type="paragraph" w:styleId="7">
    <w:name w:val="heading 2"/>
    <w:basedOn w:val="1"/>
    <w:next w:val="1"/>
    <w:link w:val="198"/>
    <w:autoRedefine/>
    <w:qFormat/>
    <w:uiPriority w:val="0"/>
    <w:pPr>
      <w:keepNext/>
      <w:keepLines/>
      <w:spacing w:line="440" w:lineRule="exact"/>
      <w:jc w:val="left"/>
      <w:outlineLvl w:val="1"/>
    </w:pPr>
    <w:rPr>
      <w:rFonts w:ascii="Arial" w:hAnsi="Arial" w:eastAsia="黑体"/>
      <w:b/>
      <w:bCs/>
      <w:szCs w:val="32"/>
    </w:rPr>
  </w:style>
  <w:style w:type="paragraph" w:styleId="8">
    <w:name w:val="heading 3"/>
    <w:basedOn w:val="1"/>
    <w:next w:val="1"/>
    <w:link w:val="154"/>
    <w:autoRedefine/>
    <w:qFormat/>
    <w:uiPriority w:val="0"/>
    <w:pPr>
      <w:keepNext/>
      <w:keepLines/>
      <w:spacing w:line="415" w:lineRule="auto"/>
      <w:outlineLvl w:val="2"/>
    </w:pPr>
    <w:rPr>
      <w:b/>
      <w:bCs/>
      <w:kern w:val="0"/>
      <w:sz w:val="32"/>
      <w:szCs w:val="32"/>
    </w:rPr>
  </w:style>
  <w:style w:type="paragraph" w:styleId="9">
    <w:name w:val="heading 4"/>
    <w:basedOn w:val="1"/>
    <w:next w:val="1"/>
    <w:autoRedefine/>
    <w:qFormat/>
    <w:uiPriority w:val="0"/>
    <w:pPr>
      <w:keepNext/>
      <w:keepLines/>
      <w:spacing w:line="374" w:lineRule="auto"/>
      <w:outlineLvl w:val="3"/>
    </w:pPr>
    <w:rPr>
      <w:rFonts w:ascii="Arial" w:hAnsi="Arial" w:eastAsia="黑体"/>
      <w:b/>
      <w:bCs/>
      <w:sz w:val="28"/>
      <w:szCs w:val="28"/>
    </w:rPr>
  </w:style>
  <w:style w:type="paragraph" w:styleId="10">
    <w:name w:val="heading 5"/>
    <w:basedOn w:val="1"/>
    <w:next w:val="1"/>
    <w:link w:val="131"/>
    <w:autoRedefine/>
    <w:qFormat/>
    <w:uiPriority w:val="0"/>
    <w:pPr>
      <w:keepNext/>
      <w:keepLines/>
      <w:spacing w:line="376" w:lineRule="auto"/>
      <w:outlineLvl w:val="4"/>
    </w:pPr>
    <w:rPr>
      <w:b/>
      <w:bCs/>
      <w:sz w:val="28"/>
      <w:szCs w:val="28"/>
    </w:rPr>
  </w:style>
  <w:style w:type="paragraph" w:styleId="11">
    <w:name w:val="heading 6"/>
    <w:basedOn w:val="1"/>
    <w:next w:val="1"/>
    <w:autoRedefine/>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12">
    <w:name w:val="heading 7"/>
    <w:basedOn w:val="1"/>
    <w:next w:val="1"/>
    <w:autoRedefine/>
    <w:qFormat/>
    <w:uiPriority w:val="0"/>
    <w:pPr>
      <w:keepNext/>
      <w:keepLines/>
      <w:widowControl/>
      <w:tabs>
        <w:tab w:val="left" w:pos="2520"/>
      </w:tabs>
      <w:spacing w:line="319" w:lineRule="auto"/>
      <w:ind w:left="1296" w:hanging="1296"/>
      <w:jc w:val="left"/>
      <w:outlineLvl w:val="6"/>
    </w:pPr>
    <w:rPr>
      <w:b/>
      <w:bCs/>
      <w:kern w:val="0"/>
      <w:sz w:val="24"/>
    </w:rPr>
  </w:style>
  <w:style w:type="paragraph" w:styleId="13">
    <w:name w:val="heading 8"/>
    <w:basedOn w:val="1"/>
    <w:next w:val="1"/>
    <w:autoRedefine/>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4">
    <w:name w:val="heading 9"/>
    <w:basedOn w:val="1"/>
    <w:next w:val="1"/>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autoRedefine/>
    <w:qFormat/>
    <w:uiPriority w:val="0"/>
    <w:pPr>
      <w:spacing w:line="360" w:lineRule="auto"/>
      <w:ind w:firstLine="200" w:firstLineChars="200"/>
    </w:pPr>
    <w:rPr>
      <w:rFonts w:ascii="宋体"/>
      <w:szCs w:val="20"/>
    </w:rPr>
  </w:style>
  <w:style w:type="paragraph" w:styleId="3">
    <w:name w:val="Body Text Indent"/>
    <w:basedOn w:val="1"/>
    <w:next w:val="4"/>
    <w:autoRedefine/>
    <w:qFormat/>
    <w:uiPriority w:val="0"/>
    <w:pPr>
      <w:ind w:left="420" w:leftChars="200"/>
    </w:pPr>
  </w:style>
  <w:style w:type="paragraph" w:styleId="4">
    <w:name w:val="envelope return"/>
    <w:basedOn w:val="1"/>
    <w:next w:val="5"/>
    <w:autoRedefine/>
    <w:qFormat/>
    <w:uiPriority w:val="0"/>
    <w:pPr>
      <w:snapToGrid w:val="0"/>
    </w:pPr>
    <w:rPr>
      <w:rFonts w:ascii="Arial" w:hAnsi="Arial"/>
    </w:rPr>
  </w:style>
  <w:style w:type="paragraph" w:styleId="5">
    <w:name w:val="toc 7"/>
    <w:basedOn w:val="1"/>
    <w:next w:val="1"/>
    <w:autoRedefine/>
    <w:qFormat/>
    <w:uiPriority w:val="39"/>
    <w:pPr>
      <w:ind w:left="1260"/>
      <w:jc w:val="left"/>
    </w:pPr>
    <w:rPr>
      <w:sz w:val="18"/>
      <w:szCs w:val="18"/>
    </w:rPr>
  </w:style>
  <w:style w:type="paragraph" w:styleId="15">
    <w:name w:val="table of authorities"/>
    <w:basedOn w:val="1"/>
    <w:next w:val="1"/>
    <w:autoRedefine/>
    <w:unhideWhenUsed/>
    <w:qFormat/>
    <w:uiPriority w:val="0"/>
    <w:pPr>
      <w:ind w:left="420" w:leftChars="200"/>
    </w:pPr>
  </w:style>
  <w:style w:type="paragraph" w:styleId="16">
    <w:name w:val="Normal Indent"/>
    <w:basedOn w:val="1"/>
    <w:next w:val="2"/>
    <w:autoRedefine/>
    <w:qFormat/>
    <w:uiPriority w:val="0"/>
    <w:pPr>
      <w:ind w:firstLine="420" w:firstLineChars="200"/>
    </w:pPr>
  </w:style>
  <w:style w:type="paragraph" w:styleId="17">
    <w:name w:val="Document Map"/>
    <w:basedOn w:val="1"/>
    <w:autoRedefine/>
    <w:qFormat/>
    <w:uiPriority w:val="0"/>
    <w:pPr>
      <w:shd w:val="clear" w:color="auto" w:fill="000080"/>
    </w:pPr>
  </w:style>
  <w:style w:type="paragraph" w:styleId="18">
    <w:name w:val="annotation text"/>
    <w:basedOn w:val="1"/>
    <w:link w:val="115"/>
    <w:autoRedefine/>
    <w:qFormat/>
    <w:uiPriority w:val="0"/>
    <w:pPr>
      <w:jc w:val="left"/>
    </w:pPr>
  </w:style>
  <w:style w:type="paragraph" w:styleId="19">
    <w:name w:val="Body Text 3"/>
    <w:basedOn w:val="1"/>
    <w:autoRedefine/>
    <w:qFormat/>
    <w:uiPriority w:val="0"/>
    <w:rPr>
      <w:rFonts w:ascii="宋体"/>
      <w:sz w:val="24"/>
      <w:szCs w:val="20"/>
    </w:rPr>
  </w:style>
  <w:style w:type="paragraph" w:styleId="20">
    <w:name w:val="Body Text"/>
    <w:basedOn w:val="1"/>
    <w:link w:val="143"/>
    <w:autoRedefine/>
    <w:qFormat/>
    <w:uiPriority w:val="0"/>
  </w:style>
  <w:style w:type="paragraph" w:styleId="21">
    <w:name w:val="Block Text"/>
    <w:basedOn w:val="1"/>
    <w:next w:val="22"/>
    <w:autoRedefine/>
    <w:qFormat/>
    <w:uiPriority w:val="0"/>
    <w:pPr>
      <w:spacing w:line="400" w:lineRule="exact"/>
      <w:ind w:left="-359" w:leftChars="-171" w:right="31" w:rightChars="15" w:firstLine="980" w:firstLineChars="350"/>
    </w:pPr>
    <w:rPr>
      <w:rFonts w:ascii="宋体" w:hAnsi="宋体"/>
      <w:sz w:val="28"/>
      <w:szCs w:val="32"/>
    </w:rPr>
  </w:style>
  <w:style w:type="paragraph" w:styleId="22">
    <w:name w:val="Body Text Indent 3"/>
    <w:basedOn w:val="1"/>
    <w:next w:val="1"/>
    <w:autoRedefine/>
    <w:qFormat/>
    <w:uiPriority w:val="0"/>
    <w:pPr>
      <w:ind w:left="420" w:leftChars="200"/>
    </w:pPr>
    <w:rPr>
      <w:sz w:val="16"/>
      <w:szCs w:val="16"/>
    </w:rPr>
  </w:style>
  <w:style w:type="paragraph" w:styleId="23">
    <w:name w:val="toc 5"/>
    <w:basedOn w:val="1"/>
    <w:next w:val="1"/>
    <w:autoRedefine/>
    <w:qFormat/>
    <w:uiPriority w:val="39"/>
    <w:pPr>
      <w:ind w:left="840"/>
      <w:jc w:val="left"/>
    </w:pPr>
    <w:rPr>
      <w:sz w:val="18"/>
      <w:szCs w:val="18"/>
    </w:rPr>
  </w:style>
  <w:style w:type="paragraph" w:styleId="24">
    <w:name w:val="toc 3"/>
    <w:basedOn w:val="1"/>
    <w:next w:val="1"/>
    <w:autoRedefine/>
    <w:qFormat/>
    <w:uiPriority w:val="39"/>
    <w:pPr>
      <w:ind w:left="420"/>
      <w:jc w:val="left"/>
    </w:pPr>
    <w:rPr>
      <w:i/>
      <w:iCs/>
      <w:sz w:val="20"/>
      <w:szCs w:val="20"/>
    </w:rPr>
  </w:style>
  <w:style w:type="paragraph" w:styleId="25">
    <w:name w:val="Plain Text"/>
    <w:basedOn w:val="1"/>
    <w:next w:val="1"/>
    <w:link w:val="138"/>
    <w:autoRedefine/>
    <w:qFormat/>
    <w:uiPriority w:val="0"/>
    <w:rPr>
      <w:rFonts w:ascii="Courier New" w:hAnsi="Courier New"/>
      <w:szCs w:val="20"/>
    </w:rPr>
  </w:style>
  <w:style w:type="paragraph" w:styleId="26">
    <w:name w:val="toc 8"/>
    <w:basedOn w:val="1"/>
    <w:next w:val="1"/>
    <w:autoRedefine/>
    <w:qFormat/>
    <w:uiPriority w:val="39"/>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line="360" w:lineRule="exact"/>
      <w:ind w:firstLine="600" w:firstLineChars="250"/>
      <w:jc w:val="left"/>
    </w:pPr>
    <w:rPr>
      <w:sz w:val="24"/>
    </w:rPr>
  </w:style>
  <w:style w:type="paragraph" w:styleId="29">
    <w:name w:val="Balloon Text"/>
    <w:basedOn w:val="1"/>
    <w:autoRedefine/>
    <w:qFormat/>
    <w:uiPriority w:val="0"/>
    <w:rPr>
      <w:sz w:val="18"/>
      <w:szCs w:val="18"/>
    </w:rPr>
  </w:style>
  <w:style w:type="paragraph" w:styleId="30">
    <w:name w:val="footer"/>
    <w:basedOn w:val="1"/>
    <w:next w:val="1"/>
    <w:autoRedefine/>
    <w:qFormat/>
    <w:uiPriority w:val="0"/>
    <w:pPr>
      <w:tabs>
        <w:tab w:val="center" w:pos="4153"/>
        <w:tab w:val="right" w:pos="8306"/>
      </w:tabs>
      <w:snapToGrid w:val="0"/>
      <w:jc w:val="left"/>
    </w:pPr>
    <w:rPr>
      <w:sz w:val="18"/>
      <w:szCs w:val="18"/>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jc w:val="left"/>
    </w:pPr>
    <w:rPr>
      <w:b/>
      <w:bCs/>
      <w:caps/>
      <w:sz w:val="20"/>
      <w:szCs w:val="20"/>
    </w:rPr>
  </w:style>
  <w:style w:type="paragraph" w:styleId="33">
    <w:name w:val="toc 4"/>
    <w:basedOn w:val="1"/>
    <w:next w:val="1"/>
    <w:autoRedefine/>
    <w:qFormat/>
    <w:uiPriority w:val="39"/>
    <w:pPr>
      <w:ind w:left="630"/>
      <w:jc w:val="left"/>
    </w:pPr>
    <w:rPr>
      <w:sz w:val="18"/>
      <w:szCs w:val="18"/>
    </w:rPr>
  </w:style>
  <w:style w:type="paragraph" w:styleId="34">
    <w:name w:val="List"/>
    <w:basedOn w:val="1"/>
    <w:autoRedefine/>
    <w:qFormat/>
    <w:uiPriority w:val="0"/>
    <w:pPr>
      <w:ind w:left="420" w:hanging="420"/>
    </w:pPr>
  </w:style>
  <w:style w:type="paragraph" w:styleId="35">
    <w:name w:val="footnote text"/>
    <w:basedOn w:val="1"/>
    <w:autoRedefine/>
    <w:qFormat/>
    <w:uiPriority w:val="0"/>
    <w:rPr>
      <w:sz w:val="20"/>
      <w:szCs w:val="20"/>
    </w:rPr>
  </w:style>
  <w:style w:type="paragraph" w:styleId="36">
    <w:name w:val="toc 6"/>
    <w:basedOn w:val="1"/>
    <w:next w:val="1"/>
    <w:autoRedefine/>
    <w:qFormat/>
    <w:uiPriority w:val="39"/>
    <w:pPr>
      <w:ind w:left="1050"/>
      <w:jc w:val="left"/>
    </w:pPr>
    <w:rPr>
      <w:sz w:val="18"/>
      <w:szCs w:val="18"/>
    </w:rPr>
  </w:style>
  <w:style w:type="paragraph" w:styleId="37">
    <w:name w:val="table of figures"/>
    <w:basedOn w:val="1"/>
    <w:next w:val="1"/>
    <w:autoRedefine/>
    <w:qFormat/>
    <w:uiPriority w:val="0"/>
    <w:pPr>
      <w:ind w:left="200" w:leftChars="200" w:hanging="200" w:hangingChars="200"/>
    </w:pPr>
  </w:style>
  <w:style w:type="paragraph" w:styleId="38">
    <w:name w:val="toc 2"/>
    <w:basedOn w:val="1"/>
    <w:next w:val="1"/>
    <w:autoRedefine/>
    <w:qFormat/>
    <w:uiPriority w:val="39"/>
    <w:pPr>
      <w:ind w:left="210"/>
      <w:jc w:val="left"/>
    </w:pPr>
    <w:rPr>
      <w:smallCaps/>
      <w:sz w:val="20"/>
      <w:szCs w:val="20"/>
    </w:rPr>
  </w:style>
  <w:style w:type="paragraph" w:styleId="39">
    <w:name w:val="toc 9"/>
    <w:basedOn w:val="1"/>
    <w:next w:val="1"/>
    <w:autoRedefine/>
    <w:qFormat/>
    <w:uiPriority w:val="39"/>
    <w:pPr>
      <w:ind w:left="1680"/>
      <w:jc w:val="left"/>
    </w:pPr>
    <w:rPr>
      <w:sz w:val="18"/>
      <w:szCs w:val="18"/>
    </w:rPr>
  </w:style>
  <w:style w:type="paragraph" w:styleId="40">
    <w:name w:val="Body Text 2"/>
    <w:basedOn w:val="1"/>
    <w:autoRedefine/>
    <w:qFormat/>
    <w:uiPriority w:val="0"/>
    <w:pPr>
      <w:spacing w:line="440" w:lineRule="exact"/>
    </w:pPr>
    <w:rPr>
      <w:sz w:val="28"/>
    </w:rPr>
  </w:style>
  <w:style w:type="paragraph" w:styleId="41">
    <w:name w:val="HTML Preformatted"/>
    <w:basedOn w:val="1"/>
    <w:link w:val="117"/>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2">
    <w:name w:val="Normal (Web)"/>
    <w:basedOn w:val="1"/>
    <w:autoRedefine/>
    <w:qFormat/>
    <w:uiPriority w:val="99"/>
    <w:pPr>
      <w:widowControl/>
      <w:spacing w:beforeAutospacing="1" w:afterAutospacing="1"/>
      <w:jc w:val="left"/>
    </w:pPr>
    <w:rPr>
      <w:rFonts w:ascii="宋体" w:hAnsi="宋体" w:cs="宋体"/>
      <w:kern w:val="0"/>
      <w:sz w:val="24"/>
    </w:rPr>
  </w:style>
  <w:style w:type="paragraph" w:styleId="43">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4">
    <w:name w:val="annotation subject"/>
    <w:basedOn w:val="18"/>
    <w:next w:val="18"/>
    <w:autoRedefine/>
    <w:qFormat/>
    <w:uiPriority w:val="0"/>
    <w:rPr>
      <w:b/>
      <w:bCs/>
    </w:rPr>
  </w:style>
  <w:style w:type="paragraph" w:styleId="45">
    <w:name w:val="Body Text First Indent"/>
    <w:basedOn w:val="20"/>
    <w:autoRedefine/>
    <w:qFormat/>
    <w:uiPriority w:val="0"/>
    <w:pPr>
      <w:ind w:firstLine="420" w:firstLineChars="100"/>
    </w:p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autoRedefine/>
    <w:qFormat/>
    <w:uiPriority w:val="0"/>
    <w:rPr>
      <w:b/>
      <w:bCs/>
    </w:rPr>
  </w:style>
  <w:style w:type="character" w:styleId="50">
    <w:name w:val="page number"/>
    <w:basedOn w:val="48"/>
    <w:autoRedefine/>
    <w:qFormat/>
    <w:uiPriority w:val="0"/>
  </w:style>
  <w:style w:type="character" w:styleId="51">
    <w:name w:val="FollowedHyperlink"/>
    <w:autoRedefine/>
    <w:qFormat/>
    <w:uiPriority w:val="0"/>
    <w:rPr>
      <w:color w:val="333333"/>
      <w:u w:val="none"/>
    </w:rPr>
  </w:style>
  <w:style w:type="character" w:styleId="52">
    <w:name w:val="Emphasis"/>
    <w:autoRedefine/>
    <w:qFormat/>
    <w:uiPriority w:val="0"/>
    <w:rPr>
      <w:color w:val="CC0033"/>
    </w:rPr>
  </w:style>
  <w:style w:type="character" w:styleId="53">
    <w:name w:val="HTML Definition"/>
    <w:autoRedefine/>
    <w:qFormat/>
    <w:uiPriority w:val="0"/>
  </w:style>
  <w:style w:type="character" w:styleId="54">
    <w:name w:val="HTML Typewriter"/>
    <w:autoRedefine/>
    <w:qFormat/>
    <w:uiPriority w:val="0"/>
    <w:rPr>
      <w:rFonts w:hint="default" w:ascii="monospace" w:hAnsi="monospace" w:eastAsia="monospace" w:cs="monospace"/>
      <w:sz w:val="20"/>
    </w:rPr>
  </w:style>
  <w:style w:type="character" w:styleId="55">
    <w:name w:val="HTML Acronym"/>
    <w:basedOn w:val="48"/>
    <w:autoRedefine/>
    <w:qFormat/>
    <w:uiPriority w:val="0"/>
  </w:style>
  <w:style w:type="character" w:styleId="56">
    <w:name w:val="HTML Variable"/>
    <w:autoRedefine/>
    <w:qFormat/>
    <w:uiPriority w:val="0"/>
  </w:style>
  <w:style w:type="character" w:styleId="57">
    <w:name w:val="Hyperlink"/>
    <w:basedOn w:val="48"/>
    <w:autoRedefine/>
    <w:qFormat/>
    <w:uiPriority w:val="99"/>
    <w:rPr>
      <w:color w:val="333333"/>
      <w:u w:val="none"/>
    </w:rPr>
  </w:style>
  <w:style w:type="character" w:styleId="58">
    <w:name w:val="HTML Code"/>
    <w:autoRedefine/>
    <w:qFormat/>
    <w:uiPriority w:val="0"/>
    <w:rPr>
      <w:rFonts w:hint="default" w:ascii="monospace" w:hAnsi="monospace" w:eastAsia="monospace" w:cs="monospace"/>
      <w:sz w:val="20"/>
    </w:rPr>
  </w:style>
  <w:style w:type="character" w:styleId="59">
    <w:name w:val="annotation reference"/>
    <w:autoRedefine/>
    <w:qFormat/>
    <w:uiPriority w:val="0"/>
    <w:rPr>
      <w:sz w:val="21"/>
      <w:szCs w:val="21"/>
    </w:rPr>
  </w:style>
  <w:style w:type="character" w:styleId="60">
    <w:name w:val="HTML Cite"/>
    <w:autoRedefine/>
    <w:qFormat/>
    <w:uiPriority w:val="0"/>
  </w:style>
  <w:style w:type="character" w:styleId="61">
    <w:name w:val="footnote reference"/>
    <w:autoRedefine/>
    <w:qFormat/>
    <w:uiPriority w:val="0"/>
    <w:rPr>
      <w:vertAlign w:val="superscript"/>
    </w:rPr>
  </w:style>
  <w:style w:type="character" w:styleId="62">
    <w:name w:val="HTML Keyboard"/>
    <w:autoRedefine/>
    <w:qFormat/>
    <w:uiPriority w:val="0"/>
    <w:rPr>
      <w:rFonts w:ascii="monospace" w:hAnsi="monospace" w:eastAsia="monospace" w:cs="monospace"/>
      <w:sz w:val="20"/>
    </w:rPr>
  </w:style>
  <w:style w:type="character" w:styleId="63">
    <w:name w:val="HTML Sample"/>
    <w:autoRedefine/>
    <w:qFormat/>
    <w:uiPriority w:val="0"/>
    <w:rPr>
      <w:rFonts w:hint="default" w:ascii="monospace" w:hAnsi="monospace" w:eastAsia="monospace" w:cs="monospace"/>
    </w:rPr>
  </w:style>
  <w:style w:type="character" w:customStyle="1" w:styleId="64">
    <w:name w:val="标题 2 Char"/>
    <w:autoRedefine/>
    <w:qFormat/>
    <w:uiPriority w:val="0"/>
    <w:rPr>
      <w:rFonts w:ascii="Arial" w:hAnsi="Arial" w:eastAsia="黑体"/>
      <w:b/>
      <w:bCs/>
      <w:kern w:val="2"/>
      <w:sz w:val="21"/>
      <w:szCs w:val="32"/>
      <w:lang w:val="en-US" w:eastAsia="zh-CN" w:bidi="ar-SA"/>
    </w:rPr>
  </w:style>
  <w:style w:type="character" w:customStyle="1" w:styleId="65">
    <w:name w:val="标题 1 Char"/>
    <w:link w:val="6"/>
    <w:autoRedefine/>
    <w:qFormat/>
    <w:uiPriority w:val="0"/>
    <w:rPr>
      <w:rFonts w:eastAsia="宋体"/>
      <w:b/>
      <w:bCs/>
      <w:kern w:val="44"/>
      <w:sz w:val="44"/>
      <w:szCs w:val="44"/>
      <w:lang w:val="en-US" w:eastAsia="zh-CN" w:bidi="ar-SA"/>
    </w:rPr>
  </w:style>
  <w:style w:type="paragraph" w:customStyle="1" w:styleId="66">
    <w:name w:val="正文（缩进）"/>
    <w:basedOn w:val="1"/>
    <w:next w:val="21"/>
    <w:autoRedefine/>
    <w:qFormat/>
    <w:uiPriority w:val="0"/>
    <w:pPr>
      <w:widowControl w:val="0"/>
      <w:spacing w:before="156" w:beforeLines="50" w:after="156" w:afterLines="50" w:line="360" w:lineRule="auto"/>
      <w:ind w:firstLine="480" w:firstLineChars="200"/>
      <w:textAlignment w:val="auto"/>
    </w:pPr>
    <w:rPr>
      <w:color w:val="auto"/>
      <w:kern w:val="2"/>
      <w:sz w:val="24"/>
      <w:szCs w:val="24"/>
      <w:u w:val="none" w:color="auto"/>
    </w:rPr>
  </w:style>
  <w:style w:type="paragraph" w:customStyle="1" w:styleId="67">
    <w:name w:val="正文文字 8"/>
    <w:basedOn w:val="1"/>
    <w:next w:val="1"/>
    <w:autoRedefine/>
    <w:qFormat/>
    <w:uiPriority w:val="0"/>
    <w:pPr>
      <w:ind w:left="240"/>
    </w:pPr>
    <w:rPr>
      <w:sz w:val="16"/>
    </w:rPr>
  </w:style>
  <w:style w:type="paragraph" w:styleId="68">
    <w:name w:val="List Paragraph"/>
    <w:basedOn w:val="1"/>
    <w:autoRedefine/>
    <w:qFormat/>
    <w:uiPriority w:val="34"/>
    <w:pPr>
      <w:ind w:firstLine="420" w:firstLineChars="200"/>
    </w:pPr>
  </w:style>
  <w:style w:type="paragraph" w:customStyle="1" w:styleId="69">
    <w:name w:val="_Style 62"/>
    <w:basedOn w:val="1"/>
    <w:next w:val="1"/>
    <w:autoRedefine/>
    <w:qFormat/>
    <w:uiPriority w:val="0"/>
    <w:pPr>
      <w:pBdr>
        <w:top w:val="single" w:color="auto" w:sz="6" w:space="1"/>
      </w:pBdr>
      <w:jc w:val="center"/>
    </w:pPr>
    <w:rPr>
      <w:rFonts w:ascii="Arial"/>
      <w:vanish/>
      <w:sz w:val="16"/>
    </w:rPr>
  </w:style>
  <w:style w:type="paragraph" w:customStyle="1" w:styleId="70">
    <w:name w:val="Blockquote"/>
    <w:basedOn w:val="1"/>
    <w:autoRedefine/>
    <w:qFormat/>
    <w:uiPriority w:val="0"/>
    <w:pPr>
      <w:autoSpaceDE w:val="0"/>
      <w:autoSpaceDN w:val="0"/>
      <w:adjustRightInd w:val="0"/>
      <w:ind w:left="360" w:right="360"/>
      <w:jc w:val="left"/>
    </w:pPr>
    <w:rPr>
      <w:kern w:val="0"/>
      <w:sz w:val="24"/>
      <w:szCs w:val="20"/>
    </w:rPr>
  </w:style>
  <w:style w:type="paragraph" w:customStyle="1" w:styleId="71">
    <w:name w:val="表格"/>
    <w:basedOn w:val="1"/>
    <w:autoRedefine/>
    <w:qFormat/>
    <w:uiPriority w:val="0"/>
    <w:pPr>
      <w:jc w:val="center"/>
      <w:textAlignment w:val="center"/>
    </w:pPr>
    <w:rPr>
      <w:rFonts w:ascii="华文细黑" w:hAnsi="华文细黑"/>
      <w:kern w:val="0"/>
      <w:szCs w:val="20"/>
    </w:rPr>
  </w:style>
  <w:style w:type="paragraph" w:customStyle="1" w:styleId="72">
    <w:name w:val="表格文字"/>
    <w:basedOn w:val="1"/>
    <w:autoRedefine/>
    <w:qFormat/>
    <w:uiPriority w:val="0"/>
    <w:pPr>
      <w:adjustRightInd w:val="0"/>
      <w:spacing w:line="420" w:lineRule="atLeast"/>
      <w:jc w:val="left"/>
      <w:textAlignment w:val="baseline"/>
    </w:pPr>
    <w:rPr>
      <w:kern w:val="0"/>
      <w:szCs w:val="20"/>
    </w:rPr>
  </w:style>
  <w:style w:type="paragraph" w:customStyle="1" w:styleId="73">
    <w:name w:val="Char"/>
    <w:basedOn w:val="1"/>
    <w:next w:val="1"/>
    <w:autoRedefine/>
    <w:qFormat/>
    <w:uiPriority w:val="0"/>
    <w:pPr>
      <w:widowControl/>
      <w:spacing w:line="360" w:lineRule="auto"/>
      <w:jc w:val="left"/>
    </w:pPr>
    <w:rPr>
      <w:kern w:val="0"/>
      <w:szCs w:val="20"/>
      <w:lang w:eastAsia="en-US"/>
    </w:rPr>
  </w:style>
  <w:style w:type="paragraph" w:customStyle="1" w:styleId="7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5">
    <w:name w:val="样式2"/>
    <w:basedOn w:val="8"/>
    <w:autoRedefine/>
    <w:qFormat/>
    <w:uiPriority w:val="0"/>
  </w:style>
  <w:style w:type="paragraph" w:customStyle="1" w:styleId="76">
    <w:name w:val="Default Paragraph Char Char Char Char"/>
    <w:basedOn w:val="1"/>
    <w:next w:val="1"/>
    <w:autoRedefine/>
    <w:qFormat/>
    <w:uiPriority w:val="0"/>
    <w:pPr>
      <w:spacing w:line="360" w:lineRule="auto"/>
    </w:pPr>
    <w:rPr>
      <w:szCs w:val="20"/>
    </w:rPr>
  </w:style>
  <w:style w:type="paragraph" w:customStyle="1" w:styleId="77">
    <w:name w:val="节标题"/>
    <w:basedOn w:val="1"/>
    <w:next w:val="1"/>
    <w:autoRedefine/>
    <w:qFormat/>
    <w:uiPriority w:val="0"/>
    <w:pPr>
      <w:widowControl/>
      <w:spacing w:line="289" w:lineRule="atLeast"/>
      <w:jc w:val="center"/>
      <w:textAlignment w:val="baseline"/>
    </w:pPr>
    <w:rPr>
      <w:color w:val="000000"/>
      <w:kern w:val="0"/>
      <w:sz w:val="28"/>
      <w:szCs w:val="20"/>
      <w:u w:color="000000"/>
    </w:rPr>
  </w:style>
  <w:style w:type="paragraph" w:customStyle="1" w:styleId="78">
    <w:name w:val="默认段落字体 Para Char Char Char Char"/>
    <w:basedOn w:val="1"/>
    <w:autoRedefine/>
    <w:qFormat/>
    <w:uiPriority w:val="0"/>
  </w:style>
  <w:style w:type="paragraph" w:customStyle="1" w:styleId="79">
    <w:name w:val="样式 标题 1 + 黑体 五号"/>
    <w:basedOn w:val="6"/>
    <w:autoRedefine/>
    <w:qFormat/>
    <w:uiPriority w:val="0"/>
    <w:pPr>
      <w:jc w:val="left"/>
    </w:pPr>
    <w:rPr>
      <w:rFonts w:ascii="黑体" w:hAnsi="黑体" w:eastAsia="黑体"/>
      <w:sz w:val="21"/>
    </w:rPr>
  </w:style>
  <w:style w:type="paragraph" w:customStyle="1" w:styleId="80">
    <w:name w:val="样式4"/>
    <w:basedOn w:val="8"/>
    <w:autoRedefine/>
    <w:qFormat/>
    <w:uiPriority w:val="0"/>
    <w:rPr>
      <w:rFonts w:eastAsia="Arial"/>
    </w:rPr>
  </w:style>
  <w:style w:type="paragraph" w:customStyle="1" w:styleId="81">
    <w:name w:val="正文1"/>
    <w:autoRedefine/>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2">
    <w:name w:val="列出段落1"/>
    <w:basedOn w:val="1"/>
    <w:autoRedefine/>
    <w:qFormat/>
    <w:uiPriority w:val="0"/>
    <w:pPr>
      <w:ind w:firstLine="200" w:firstLineChars="200"/>
    </w:pPr>
  </w:style>
  <w:style w:type="paragraph" w:customStyle="1" w:styleId="83">
    <w:name w:val="p0 New"/>
    <w:basedOn w:val="1"/>
    <w:autoRedefine/>
    <w:qFormat/>
    <w:uiPriority w:val="0"/>
    <w:pPr>
      <w:widowControl/>
      <w:jc w:val="left"/>
    </w:pPr>
    <w:rPr>
      <w:rFonts w:ascii="宋体" w:hAnsi="宋体" w:cs="宋体"/>
      <w:kern w:val="0"/>
      <w:sz w:val="18"/>
      <w:szCs w:val="18"/>
    </w:rPr>
  </w:style>
  <w:style w:type="paragraph" w:customStyle="1" w:styleId="84">
    <w:name w:val="样式 标题 1 + 黑体 三号 非加粗 居中 段前: 6 磅 段后: 6 磅 行距: 固定值 20 磅"/>
    <w:basedOn w:val="6"/>
    <w:autoRedefine/>
    <w:qFormat/>
    <w:uiPriority w:val="0"/>
    <w:pPr>
      <w:spacing w:line="400" w:lineRule="exact"/>
    </w:pPr>
    <w:rPr>
      <w:rFonts w:ascii="黑体" w:hAnsi="黑体" w:eastAsia="黑体" w:cs="宋体"/>
      <w:b w:val="0"/>
      <w:bCs w:val="0"/>
      <w:sz w:val="32"/>
      <w:szCs w:val="20"/>
    </w:rPr>
  </w:style>
  <w:style w:type="paragraph" w:customStyle="1" w:styleId="85">
    <w:name w:val="_Style 78"/>
    <w:basedOn w:val="6"/>
    <w:next w:val="1"/>
    <w:autoRedefine/>
    <w:qFormat/>
    <w:uiPriority w:val="39"/>
    <w:pPr>
      <w:widowControl/>
      <w:spacing w:before="480" w:line="276" w:lineRule="auto"/>
      <w:jc w:val="left"/>
      <w:outlineLvl w:val="9"/>
    </w:pPr>
    <w:rPr>
      <w:rFonts w:ascii="Cambria" w:hAnsi="Cambria"/>
      <w:color w:val="365F91"/>
      <w:kern w:val="0"/>
      <w:sz w:val="28"/>
      <w:szCs w:val="28"/>
    </w:rPr>
  </w:style>
  <w:style w:type="paragraph" w:customStyle="1" w:styleId="86">
    <w:name w:val="Char1"/>
    <w:basedOn w:val="1"/>
    <w:autoRedefine/>
    <w:qFormat/>
    <w:uiPriority w:val="0"/>
    <w:pPr>
      <w:tabs>
        <w:tab w:val="left" w:pos="360"/>
      </w:tabs>
    </w:pPr>
    <w:rPr>
      <w:sz w:val="24"/>
    </w:rPr>
  </w:style>
  <w:style w:type="paragraph" w:customStyle="1" w:styleId="87">
    <w:name w:val="样式1"/>
    <w:basedOn w:val="8"/>
    <w:autoRedefine/>
    <w:qFormat/>
    <w:uiPriority w:val="0"/>
    <w:rPr>
      <w:rFonts w:eastAsia="Arial"/>
    </w:rPr>
  </w:style>
  <w:style w:type="paragraph" w:customStyle="1" w:styleId="88">
    <w:name w:val="Char Char Char Char Char Char Char Char Char Char Char Char Char"/>
    <w:basedOn w:val="1"/>
    <w:autoRedefine/>
    <w:qFormat/>
    <w:uiPriority w:val="0"/>
  </w:style>
  <w:style w:type="paragraph" w:customStyle="1" w:styleId="89">
    <w:name w:val="p"/>
    <w:basedOn w:val="1"/>
    <w:autoRedefine/>
    <w:qFormat/>
    <w:uiPriority w:val="0"/>
    <w:rPr>
      <w:rFonts w:ascii="宋体"/>
      <w:sz w:val="24"/>
    </w:rPr>
  </w:style>
  <w:style w:type="paragraph" w:customStyle="1" w:styleId="90">
    <w:name w:val="Char Char Char Char"/>
    <w:basedOn w:val="1"/>
    <w:autoRedefine/>
    <w:qFormat/>
    <w:uiPriority w:val="0"/>
  </w:style>
  <w:style w:type="paragraph" w:customStyle="1" w:styleId="91">
    <w:name w:val="_Style 84"/>
    <w:basedOn w:val="1"/>
    <w:next w:val="1"/>
    <w:autoRedefine/>
    <w:qFormat/>
    <w:uiPriority w:val="0"/>
    <w:pPr>
      <w:pBdr>
        <w:bottom w:val="single" w:color="auto" w:sz="6" w:space="1"/>
      </w:pBdr>
      <w:jc w:val="center"/>
    </w:pPr>
    <w:rPr>
      <w:rFonts w:ascii="Arial"/>
      <w:vanish/>
      <w:sz w:val="16"/>
    </w:rPr>
  </w:style>
  <w:style w:type="paragraph" w:customStyle="1" w:styleId="92">
    <w:name w:val="1"/>
    <w:basedOn w:val="1"/>
    <w:next w:val="1"/>
    <w:autoRedefine/>
    <w:qFormat/>
    <w:uiPriority w:val="0"/>
  </w:style>
  <w:style w:type="paragraph" w:customStyle="1" w:styleId="93">
    <w:name w:val="p15"/>
    <w:autoRedefine/>
    <w:qFormat/>
    <w:uiPriority w:val="0"/>
    <w:pPr>
      <w:jc w:val="both"/>
    </w:pPr>
    <w:rPr>
      <w:rFonts w:ascii="宋体" w:hAnsi="Times New Roman" w:eastAsia="宋体" w:cs="宋体"/>
      <w:sz w:val="21"/>
      <w:szCs w:val="21"/>
      <w:lang w:val="en-US" w:eastAsia="zh-CN" w:bidi="ar-SA"/>
    </w:rPr>
  </w:style>
  <w:style w:type="paragraph" w:customStyle="1" w:styleId="94">
    <w:name w:val="样式 标题 2 + Times New Roman 四号 非加粗 段前: 5 磅 段后: 0 磅 行距: 固定值 20..."/>
    <w:basedOn w:val="7"/>
    <w:autoRedefine/>
    <w:qFormat/>
    <w:uiPriority w:val="0"/>
    <w:pPr>
      <w:spacing w:line="400" w:lineRule="exact"/>
    </w:pPr>
    <w:rPr>
      <w:rFonts w:ascii="Times New Roman" w:hAnsi="Times New Roman" w:cs="宋体"/>
      <w:b w:val="0"/>
      <w:bCs w:val="0"/>
      <w:sz w:val="28"/>
      <w:szCs w:val="20"/>
    </w:rPr>
  </w:style>
  <w:style w:type="paragraph" w:customStyle="1" w:styleId="95">
    <w:name w:val="Table Paragraph"/>
    <w:basedOn w:val="1"/>
    <w:autoRedefine/>
    <w:qFormat/>
    <w:uiPriority w:val="0"/>
    <w:pPr>
      <w:autoSpaceDE w:val="0"/>
      <w:autoSpaceDN w:val="0"/>
      <w:jc w:val="left"/>
    </w:pPr>
    <w:rPr>
      <w:rFonts w:ascii="宋体" w:hAnsi="宋体" w:cs="宋体"/>
      <w:kern w:val="0"/>
      <w:sz w:val="22"/>
      <w:szCs w:val="22"/>
      <w:lang w:val="zh-CN"/>
    </w:rPr>
  </w:style>
  <w:style w:type="paragraph" w:customStyle="1" w:styleId="96">
    <w:name w:val="p0"/>
    <w:basedOn w:val="1"/>
    <w:autoRedefine/>
    <w:qFormat/>
    <w:uiPriority w:val="99"/>
    <w:pPr>
      <w:widowControl/>
    </w:pPr>
    <w:rPr>
      <w:kern w:val="0"/>
      <w:szCs w:val="21"/>
    </w:rPr>
  </w:style>
  <w:style w:type="paragraph" w:customStyle="1" w:styleId="97">
    <w:name w:val="样式3"/>
    <w:basedOn w:val="8"/>
    <w:autoRedefine/>
    <w:qFormat/>
    <w:uiPriority w:val="0"/>
    <w:rPr>
      <w:rFonts w:eastAsia="Arial"/>
    </w:rPr>
  </w:style>
  <w:style w:type="paragraph" w:customStyle="1" w:styleId="98">
    <w:name w:val="样式 标题 3 + (中文) 黑体 小四 非加粗 段前: 7.8 磅 段后: 0 磅 行距: 固定值 20 磅"/>
    <w:basedOn w:val="8"/>
    <w:autoRedefine/>
    <w:qFormat/>
    <w:uiPriority w:val="0"/>
    <w:pPr>
      <w:spacing w:line="400" w:lineRule="exact"/>
    </w:pPr>
    <w:rPr>
      <w:rFonts w:eastAsia="黑体" w:cs="宋体"/>
      <w:b w:val="0"/>
      <w:bCs w:val="0"/>
      <w:sz w:val="24"/>
      <w:szCs w:val="20"/>
    </w:rPr>
  </w:style>
  <w:style w:type="paragraph" w:customStyle="1" w:styleId="99">
    <w:name w:val="Char Char Char Char Char Char Char Char Char Char Char Char Char1"/>
    <w:basedOn w:val="1"/>
    <w:autoRedefine/>
    <w:qFormat/>
    <w:uiPriority w:val="0"/>
  </w:style>
  <w:style w:type="paragraph" w:customStyle="1" w:styleId="100">
    <w:name w:val="Char4"/>
    <w:basedOn w:val="1"/>
    <w:autoRedefine/>
    <w:qFormat/>
    <w:uiPriority w:val="0"/>
    <w:pPr>
      <w:widowControl/>
      <w:spacing w:line="360" w:lineRule="auto"/>
      <w:ind w:firstLine="200" w:firstLineChars="200"/>
      <w:textAlignment w:val="baseline"/>
    </w:pPr>
    <w:rPr>
      <w:color w:val="000000"/>
      <w:kern w:val="0"/>
      <w:szCs w:val="20"/>
      <w:u w:color="000000"/>
    </w:rPr>
  </w:style>
  <w:style w:type="paragraph" w:customStyle="1" w:styleId="101">
    <w:name w:val="正文2"/>
    <w:autoRedefine/>
    <w:qFormat/>
    <w:uiPriority w:val="0"/>
    <w:pPr>
      <w:widowControl w:val="0"/>
      <w:jc w:val="both"/>
    </w:pPr>
    <w:rPr>
      <w:rFonts w:ascii="Times New Roman" w:hAnsi="Times New Roman" w:eastAsia="宋体" w:cs="Times New Roman"/>
      <w:lang w:val="en-US" w:eastAsia="zh-CN" w:bidi="ar-SA"/>
    </w:rPr>
  </w:style>
  <w:style w:type="character" w:customStyle="1" w:styleId="102">
    <w:name w:val="first-child"/>
    <w:basedOn w:val="48"/>
    <w:autoRedefine/>
    <w:qFormat/>
    <w:uiPriority w:val="0"/>
  </w:style>
  <w:style w:type="character" w:customStyle="1" w:styleId="103">
    <w:name w:val="Char Char Char Char Char Char"/>
    <w:autoRedefine/>
    <w:qFormat/>
    <w:uiPriority w:val="0"/>
    <w:rPr>
      <w:rFonts w:ascii="Arial" w:hAnsi="Arial" w:eastAsia="黑体"/>
      <w:b/>
      <w:bCs/>
      <w:kern w:val="2"/>
      <w:sz w:val="32"/>
      <w:szCs w:val="32"/>
      <w:lang w:val="en-US" w:eastAsia="zh-CN" w:bidi="ar-SA"/>
    </w:rPr>
  </w:style>
  <w:style w:type="character" w:customStyle="1" w:styleId="104">
    <w:name w:val="l11"/>
    <w:autoRedefine/>
    <w:qFormat/>
    <w:uiPriority w:val="0"/>
    <w:rPr>
      <w:color w:val="999999"/>
    </w:rPr>
  </w:style>
  <w:style w:type="character" w:customStyle="1" w:styleId="105">
    <w:name w:val="Char Char"/>
    <w:autoRedefine/>
    <w:qFormat/>
    <w:uiPriority w:val="0"/>
    <w:rPr>
      <w:rFonts w:ascii="Arial" w:hAnsi="Arial" w:eastAsia="黑体"/>
      <w:b/>
      <w:bCs/>
      <w:kern w:val="2"/>
      <w:sz w:val="32"/>
      <w:szCs w:val="32"/>
      <w:lang w:val="en-US" w:eastAsia="zh-CN" w:bidi="ar-SA"/>
    </w:rPr>
  </w:style>
  <w:style w:type="character" w:customStyle="1" w:styleId="106">
    <w:name w:val="Char Char5"/>
    <w:autoRedefine/>
    <w:qFormat/>
    <w:uiPriority w:val="0"/>
    <w:rPr>
      <w:rFonts w:ascii="Arial" w:hAnsi="Arial" w:eastAsia="黑体"/>
      <w:b/>
      <w:bCs/>
      <w:kern w:val="2"/>
      <w:sz w:val="32"/>
      <w:szCs w:val="32"/>
    </w:rPr>
  </w:style>
  <w:style w:type="character" w:customStyle="1" w:styleId="107">
    <w:name w:val="msg-box28"/>
    <w:basedOn w:val="48"/>
    <w:autoRedefine/>
    <w:qFormat/>
    <w:uiPriority w:val="0"/>
  </w:style>
  <w:style w:type="character" w:customStyle="1" w:styleId="108">
    <w:name w:val="img_title6"/>
    <w:autoRedefine/>
    <w:qFormat/>
    <w:uiPriority w:val="0"/>
    <w:rPr>
      <w:vanish/>
    </w:rPr>
  </w:style>
  <w:style w:type="character" w:customStyle="1" w:styleId="109">
    <w:name w:val="tit12"/>
    <w:autoRedefine/>
    <w:qFormat/>
    <w:uiPriority w:val="0"/>
    <w:rPr>
      <w:color w:val="04A06C"/>
    </w:rPr>
  </w:style>
  <w:style w:type="character" w:customStyle="1" w:styleId="110">
    <w:name w:val="Char Char2"/>
    <w:autoRedefine/>
    <w:qFormat/>
    <w:uiPriority w:val="0"/>
    <w:rPr>
      <w:rFonts w:eastAsia="宋体"/>
      <w:kern w:val="2"/>
      <w:sz w:val="21"/>
      <w:szCs w:val="24"/>
      <w:lang w:val="en-US" w:eastAsia="zh-CN" w:bidi="ar-SA"/>
    </w:rPr>
  </w:style>
  <w:style w:type="character" w:customStyle="1" w:styleId="111">
    <w:name w:val="nostart"/>
    <w:autoRedefine/>
    <w:qFormat/>
    <w:uiPriority w:val="0"/>
    <w:rPr>
      <w:color w:val="FF0000"/>
    </w:rPr>
  </w:style>
  <w:style w:type="character" w:customStyle="1" w:styleId="112">
    <w:name w:val="nostart3"/>
    <w:basedOn w:val="48"/>
    <w:autoRedefine/>
    <w:qFormat/>
    <w:uiPriority w:val="0"/>
  </w:style>
  <w:style w:type="character" w:customStyle="1" w:styleId="113">
    <w:name w:val="img4"/>
    <w:basedOn w:val="48"/>
    <w:autoRedefine/>
    <w:qFormat/>
    <w:uiPriority w:val="0"/>
  </w:style>
  <w:style w:type="character" w:customStyle="1" w:styleId="114">
    <w:name w:val="tit11"/>
    <w:autoRedefine/>
    <w:qFormat/>
    <w:uiPriority w:val="0"/>
    <w:rPr>
      <w:color w:val="B60000"/>
    </w:rPr>
  </w:style>
  <w:style w:type="character" w:customStyle="1" w:styleId="115">
    <w:name w:val="批注文字 Char"/>
    <w:link w:val="18"/>
    <w:autoRedefine/>
    <w:qFormat/>
    <w:uiPriority w:val="0"/>
    <w:rPr>
      <w:rFonts w:eastAsia="宋体"/>
      <w:kern w:val="2"/>
      <w:sz w:val="21"/>
      <w:szCs w:val="24"/>
      <w:lang w:val="en-US" w:eastAsia="zh-CN" w:bidi="ar-SA"/>
    </w:rPr>
  </w:style>
  <w:style w:type="character" w:customStyle="1" w:styleId="116">
    <w:name w:val="over"/>
    <w:autoRedefine/>
    <w:qFormat/>
    <w:uiPriority w:val="0"/>
    <w:rPr>
      <w:color w:val="B60000"/>
    </w:rPr>
  </w:style>
  <w:style w:type="character" w:customStyle="1" w:styleId="117">
    <w:name w:val="HTML 预设格式 Char"/>
    <w:link w:val="41"/>
    <w:autoRedefine/>
    <w:qFormat/>
    <w:uiPriority w:val="0"/>
    <w:rPr>
      <w:rFonts w:ascii="宋体" w:hAnsi="宋体" w:cs="宋体"/>
      <w:sz w:val="24"/>
      <w:szCs w:val="24"/>
    </w:rPr>
  </w:style>
  <w:style w:type="character" w:customStyle="1" w:styleId="118">
    <w:name w:val="l6"/>
    <w:autoRedefine/>
    <w:qFormat/>
    <w:uiPriority w:val="0"/>
    <w:rPr>
      <w:color w:val="999999"/>
    </w:rPr>
  </w:style>
  <w:style w:type="character" w:customStyle="1" w:styleId="119">
    <w:name w:val="datetime"/>
    <w:autoRedefine/>
    <w:qFormat/>
    <w:uiPriority w:val="0"/>
    <w:rPr>
      <w:rFonts w:hint="default" w:ascii="Arial" w:hAnsi="Arial" w:cs="Arial"/>
      <w:color w:val="999999"/>
      <w:sz w:val="21"/>
      <w:szCs w:val="21"/>
    </w:rPr>
  </w:style>
  <w:style w:type="character" w:customStyle="1" w:styleId="120">
    <w:name w:val="txt1"/>
    <w:basedOn w:val="48"/>
    <w:autoRedefine/>
    <w:qFormat/>
    <w:uiPriority w:val="0"/>
  </w:style>
  <w:style w:type="character" w:customStyle="1" w:styleId="121">
    <w:name w:val="starting1"/>
    <w:autoRedefine/>
    <w:qFormat/>
    <w:uiPriority w:val="0"/>
    <w:rPr>
      <w:color w:val="339900"/>
    </w:rPr>
  </w:style>
  <w:style w:type="character" w:customStyle="1" w:styleId="122">
    <w:name w:val="starting2"/>
    <w:autoRedefine/>
    <w:qFormat/>
    <w:uiPriority w:val="0"/>
    <w:rPr>
      <w:color w:val="B60000"/>
    </w:rPr>
  </w:style>
  <w:style w:type="character" w:customStyle="1" w:styleId="123">
    <w:name w:val="red"/>
    <w:autoRedefine/>
    <w:qFormat/>
    <w:uiPriority w:val="0"/>
    <w:rPr>
      <w:rFonts w:hint="default" w:ascii="Arial" w:hAnsi="Arial" w:cs="Arial"/>
      <w:color w:val="E50000"/>
    </w:rPr>
  </w:style>
  <w:style w:type="character" w:customStyle="1" w:styleId="124">
    <w:name w:val="Char Char4"/>
    <w:autoRedefine/>
    <w:qFormat/>
    <w:uiPriority w:val="0"/>
    <w:rPr>
      <w:rFonts w:eastAsia="宋体"/>
      <w:b/>
      <w:bCs/>
      <w:kern w:val="44"/>
      <w:sz w:val="44"/>
      <w:szCs w:val="44"/>
      <w:lang w:val="en-US" w:eastAsia="zh-CN" w:bidi="ar-SA"/>
    </w:rPr>
  </w:style>
  <w:style w:type="character" w:customStyle="1" w:styleId="125">
    <w:name w:val="font161"/>
    <w:autoRedefine/>
    <w:qFormat/>
    <w:uiPriority w:val="0"/>
    <w:rPr>
      <w:b/>
      <w:bCs/>
      <w:sz w:val="32"/>
      <w:szCs w:val="32"/>
    </w:rPr>
  </w:style>
  <w:style w:type="character" w:customStyle="1" w:styleId="126">
    <w:name w:val="Char Char8"/>
    <w:autoRedefine/>
    <w:qFormat/>
    <w:uiPriority w:val="0"/>
    <w:rPr>
      <w:rFonts w:ascii="Arial" w:hAnsi="Arial" w:eastAsia="黑体"/>
      <w:b/>
      <w:bCs/>
      <w:kern w:val="2"/>
      <w:sz w:val="32"/>
      <w:szCs w:val="32"/>
      <w:lang w:val="en-US" w:eastAsia="zh-CN" w:bidi="ar-SA"/>
    </w:rPr>
  </w:style>
  <w:style w:type="character" w:customStyle="1" w:styleId="127">
    <w:name w:val="msg-box29"/>
    <w:basedOn w:val="48"/>
    <w:autoRedefine/>
    <w:qFormat/>
    <w:uiPriority w:val="0"/>
  </w:style>
  <w:style w:type="character" w:customStyle="1" w:styleId="128">
    <w:name w:val="over2"/>
    <w:autoRedefine/>
    <w:qFormat/>
    <w:uiPriority w:val="0"/>
    <w:rPr>
      <w:color w:val="999999"/>
    </w:rPr>
  </w:style>
  <w:style w:type="character" w:customStyle="1" w:styleId="129">
    <w:name w:val="img_title7"/>
    <w:autoRedefine/>
    <w:qFormat/>
    <w:uiPriority w:val="0"/>
    <w:rPr>
      <w:vanish/>
    </w:rPr>
  </w:style>
  <w:style w:type="character" w:customStyle="1" w:styleId="130">
    <w:name w:val="l7"/>
    <w:autoRedefine/>
    <w:qFormat/>
    <w:uiPriority w:val="0"/>
    <w:rPr>
      <w:color w:val="999999"/>
    </w:rPr>
  </w:style>
  <w:style w:type="character" w:customStyle="1" w:styleId="131">
    <w:name w:val="标题 5 Char"/>
    <w:link w:val="10"/>
    <w:autoRedefine/>
    <w:qFormat/>
    <w:uiPriority w:val="0"/>
    <w:rPr>
      <w:b/>
      <w:bCs/>
      <w:kern w:val="2"/>
      <w:sz w:val="28"/>
      <w:szCs w:val="28"/>
    </w:rPr>
  </w:style>
  <w:style w:type="character" w:customStyle="1" w:styleId="132">
    <w:name w:val="l51"/>
    <w:autoRedefine/>
    <w:qFormat/>
    <w:uiPriority w:val="0"/>
    <w:rPr>
      <w:color w:val="999999"/>
    </w:rPr>
  </w:style>
  <w:style w:type="character" w:customStyle="1" w:styleId="133">
    <w:name w:val="num81"/>
    <w:basedOn w:val="48"/>
    <w:autoRedefine/>
    <w:qFormat/>
    <w:uiPriority w:val="0"/>
  </w:style>
  <w:style w:type="character" w:customStyle="1" w:styleId="134">
    <w:name w:val="Char Char1"/>
    <w:autoRedefine/>
    <w:qFormat/>
    <w:uiPriority w:val="0"/>
    <w:rPr>
      <w:rFonts w:eastAsia="宋体"/>
      <w:kern w:val="2"/>
      <w:sz w:val="21"/>
      <w:szCs w:val="24"/>
      <w:lang w:val="en-US" w:eastAsia="zh-CN" w:bidi="ar-SA"/>
    </w:rPr>
  </w:style>
  <w:style w:type="character" w:customStyle="1" w:styleId="135">
    <w:name w:val="zs"/>
    <w:autoRedefine/>
    <w:qFormat/>
    <w:uiPriority w:val="0"/>
    <w:rPr>
      <w:color w:val="8D744B"/>
      <w:sz w:val="18"/>
      <w:szCs w:val="18"/>
    </w:rPr>
  </w:style>
  <w:style w:type="character" w:customStyle="1" w:styleId="136">
    <w:name w:val="bigfont"/>
    <w:basedOn w:val="48"/>
    <w:autoRedefine/>
    <w:qFormat/>
    <w:uiPriority w:val="0"/>
  </w:style>
  <w:style w:type="character" w:customStyle="1" w:styleId="137">
    <w:name w:val="txt"/>
    <w:autoRedefine/>
    <w:qFormat/>
    <w:uiPriority w:val="0"/>
    <w:rPr>
      <w:color w:val="C0C0C0"/>
    </w:rPr>
  </w:style>
  <w:style w:type="character" w:customStyle="1" w:styleId="138">
    <w:name w:val="纯文本 Char2"/>
    <w:link w:val="25"/>
    <w:autoRedefine/>
    <w:qFormat/>
    <w:uiPriority w:val="0"/>
    <w:rPr>
      <w:rFonts w:ascii="Courier New" w:hAnsi="Courier New" w:eastAsia="宋体"/>
      <w:kern w:val="2"/>
      <w:sz w:val="21"/>
      <w:lang w:val="en-US" w:eastAsia="zh-CN" w:bidi="ar-SA"/>
    </w:rPr>
  </w:style>
  <w:style w:type="character" w:customStyle="1" w:styleId="139">
    <w:name w:val="jg"/>
    <w:basedOn w:val="48"/>
    <w:autoRedefine/>
    <w:qFormat/>
    <w:uiPriority w:val="0"/>
  </w:style>
  <w:style w:type="character" w:customStyle="1" w:styleId="140">
    <w:name w:val="17"/>
    <w:autoRedefine/>
    <w:qFormat/>
    <w:uiPriority w:val="0"/>
    <w:rPr>
      <w:rFonts w:ascii="仿宋_GB2312" w:eastAsia="仿宋_GB2312"/>
      <w:color w:val="auto"/>
      <w:sz w:val="28"/>
      <w:szCs w:val="28"/>
      <w:u w:val="single"/>
    </w:rPr>
  </w:style>
  <w:style w:type="character" w:customStyle="1" w:styleId="141">
    <w:name w:val="job"/>
    <w:basedOn w:val="48"/>
    <w:autoRedefine/>
    <w:qFormat/>
    <w:uiPriority w:val="0"/>
  </w:style>
  <w:style w:type="character" w:customStyle="1" w:styleId="142">
    <w:name w:val="job1"/>
    <w:basedOn w:val="48"/>
    <w:autoRedefine/>
    <w:qFormat/>
    <w:uiPriority w:val="0"/>
  </w:style>
  <w:style w:type="character" w:customStyle="1" w:styleId="143">
    <w:name w:val="正文文本 Char"/>
    <w:link w:val="20"/>
    <w:autoRedefine/>
    <w:qFormat/>
    <w:uiPriority w:val="0"/>
    <w:rPr>
      <w:rFonts w:eastAsia="宋体"/>
      <w:kern w:val="2"/>
      <w:sz w:val="21"/>
      <w:szCs w:val="24"/>
      <w:lang w:val="en-US" w:eastAsia="zh-CN" w:bidi="ar-SA"/>
    </w:rPr>
  </w:style>
  <w:style w:type="character" w:customStyle="1" w:styleId="144">
    <w:name w:val="p05"/>
    <w:basedOn w:val="48"/>
    <w:autoRedefine/>
    <w:qFormat/>
    <w:uiPriority w:val="0"/>
  </w:style>
  <w:style w:type="character" w:customStyle="1" w:styleId="145">
    <w:name w:val="Char Char7"/>
    <w:autoRedefine/>
    <w:qFormat/>
    <w:uiPriority w:val="0"/>
    <w:rPr>
      <w:rFonts w:ascii="Arial" w:hAnsi="Arial" w:eastAsia="黑体"/>
      <w:b/>
      <w:bCs/>
      <w:kern w:val="2"/>
      <w:sz w:val="32"/>
      <w:szCs w:val="32"/>
      <w:lang w:val="en-US" w:eastAsia="zh-CN" w:bidi="ar-SA"/>
    </w:rPr>
  </w:style>
  <w:style w:type="character" w:customStyle="1" w:styleId="146">
    <w:name w:val="over3"/>
    <w:basedOn w:val="48"/>
    <w:autoRedefine/>
    <w:qFormat/>
    <w:uiPriority w:val="0"/>
  </w:style>
  <w:style w:type="character" w:customStyle="1" w:styleId="147">
    <w:name w:val="Char Char3"/>
    <w:autoRedefine/>
    <w:qFormat/>
    <w:uiPriority w:val="0"/>
    <w:rPr>
      <w:rFonts w:ascii="Arial" w:hAnsi="Arial" w:eastAsia="黑体"/>
      <w:b/>
      <w:bCs/>
      <w:kern w:val="2"/>
      <w:sz w:val="32"/>
      <w:szCs w:val="32"/>
      <w:lang w:val="en-US" w:eastAsia="zh-CN" w:bidi="ar-SA"/>
    </w:rPr>
  </w:style>
  <w:style w:type="character" w:customStyle="1" w:styleId="148">
    <w:name w:val="Char Char71"/>
    <w:autoRedefine/>
    <w:qFormat/>
    <w:uiPriority w:val="0"/>
    <w:rPr>
      <w:rFonts w:ascii="Arial" w:hAnsi="Arial" w:eastAsia="黑体"/>
      <w:b/>
      <w:bCs/>
      <w:kern w:val="2"/>
      <w:sz w:val="32"/>
      <w:szCs w:val="32"/>
      <w:lang w:val="en-US" w:eastAsia="zh-CN" w:bidi="ar-SA"/>
    </w:rPr>
  </w:style>
  <w:style w:type="character" w:customStyle="1" w:styleId="149">
    <w:name w:val="num51"/>
    <w:basedOn w:val="48"/>
    <w:autoRedefine/>
    <w:qFormat/>
    <w:uiPriority w:val="0"/>
  </w:style>
  <w:style w:type="character" w:customStyle="1" w:styleId="150">
    <w:name w:val="Char Char Char"/>
    <w:autoRedefine/>
    <w:qFormat/>
    <w:uiPriority w:val="0"/>
    <w:rPr>
      <w:rFonts w:eastAsia="宋体"/>
      <w:b/>
      <w:bCs/>
      <w:kern w:val="44"/>
      <w:sz w:val="44"/>
      <w:szCs w:val="44"/>
      <w:lang w:val="en-US" w:eastAsia="zh-CN" w:bidi="ar-SA"/>
    </w:rPr>
  </w:style>
  <w:style w:type="character" w:customStyle="1" w:styleId="151">
    <w:name w:val="msg-box31"/>
    <w:basedOn w:val="48"/>
    <w:autoRedefine/>
    <w:qFormat/>
    <w:uiPriority w:val="0"/>
  </w:style>
  <w:style w:type="character" w:customStyle="1" w:styleId="152">
    <w:name w:val="msg-box30"/>
    <w:basedOn w:val="48"/>
    <w:autoRedefine/>
    <w:qFormat/>
    <w:uiPriority w:val="0"/>
  </w:style>
  <w:style w:type="character" w:customStyle="1" w:styleId="153">
    <w:name w:val="标题 1 Char Char"/>
    <w:autoRedefine/>
    <w:qFormat/>
    <w:uiPriority w:val="0"/>
    <w:rPr>
      <w:rFonts w:eastAsia="宋体"/>
      <w:b/>
      <w:bCs/>
      <w:kern w:val="44"/>
      <w:sz w:val="44"/>
      <w:szCs w:val="44"/>
      <w:lang w:val="en-US" w:eastAsia="zh-CN" w:bidi="ar-SA"/>
    </w:rPr>
  </w:style>
  <w:style w:type="character" w:customStyle="1" w:styleId="154">
    <w:name w:val="标题 3 Char"/>
    <w:link w:val="8"/>
    <w:autoRedefine/>
    <w:qFormat/>
    <w:uiPriority w:val="0"/>
    <w:rPr>
      <w:b/>
      <w:bCs/>
      <w:sz w:val="32"/>
      <w:szCs w:val="32"/>
    </w:rPr>
  </w:style>
  <w:style w:type="character" w:customStyle="1" w:styleId="155">
    <w:name w:val="c1"/>
    <w:basedOn w:val="48"/>
    <w:autoRedefine/>
    <w:qFormat/>
    <w:uiPriority w:val="0"/>
  </w:style>
  <w:style w:type="character" w:customStyle="1" w:styleId="156">
    <w:name w:val="纯文本 Char1"/>
    <w:autoRedefine/>
    <w:qFormat/>
    <w:uiPriority w:val="0"/>
    <w:rPr>
      <w:rFonts w:ascii="Courier New" w:hAnsi="Courier New" w:eastAsia="宋体"/>
      <w:kern w:val="2"/>
      <w:sz w:val="21"/>
      <w:lang w:val="en-US" w:eastAsia="zh-CN" w:bidi="ar-SA"/>
    </w:rPr>
  </w:style>
  <w:style w:type="character" w:customStyle="1" w:styleId="157">
    <w:name w:val="Char Char Char1"/>
    <w:autoRedefine/>
    <w:qFormat/>
    <w:uiPriority w:val="0"/>
    <w:rPr>
      <w:rFonts w:ascii="Arial" w:hAnsi="Arial" w:eastAsia="黑体"/>
      <w:b/>
      <w:bCs/>
      <w:kern w:val="2"/>
      <w:sz w:val="32"/>
      <w:szCs w:val="32"/>
      <w:lang w:val="en-US" w:eastAsia="zh-CN" w:bidi="ar-SA"/>
    </w:rPr>
  </w:style>
  <w:style w:type="character" w:customStyle="1" w:styleId="158">
    <w:name w:val="l3"/>
    <w:autoRedefine/>
    <w:qFormat/>
    <w:uiPriority w:val="0"/>
    <w:rPr>
      <w:color w:val="999999"/>
    </w:rPr>
  </w:style>
  <w:style w:type="character" w:customStyle="1" w:styleId="159">
    <w:name w:val="tit14"/>
    <w:autoRedefine/>
    <w:qFormat/>
    <w:uiPriority w:val="0"/>
    <w:rPr>
      <w:color w:val="B60000"/>
    </w:rPr>
  </w:style>
  <w:style w:type="character" w:customStyle="1" w:styleId="160">
    <w:name w:val="tit10"/>
    <w:autoRedefine/>
    <w:qFormat/>
    <w:uiPriority w:val="0"/>
    <w:rPr>
      <w:color w:val="B60000"/>
    </w:rPr>
  </w:style>
  <w:style w:type="character" w:customStyle="1" w:styleId="161">
    <w:name w:val="l21"/>
    <w:autoRedefine/>
    <w:qFormat/>
    <w:uiPriority w:val="0"/>
    <w:rPr>
      <w:color w:val="999999"/>
    </w:rPr>
  </w:style>
  <w:style w:type="character" w:customStyle="1" w:styleId="162">
    <w:name w:val="num71"/>
    <w:basedOn w:val="48"/>
    <w:autoRedefine/>
    <w:qFormat/>
    <w:uiPriority w:val="0"/>
  </w:style>
  <w:style w:type="character" w:customStyle="1" w:styleId="163">
    <w:name w:val="标题 2 Char Char"/>
    <w:autoRedefine/>
    <w:qFormat/>
    <w:uiPriority w:val="0"/>
    <w:rPr>
      <w:rFonts w:ascii="Arial" w:hAnsi="Arial" w:eastAsia="黑体"/>
      <w:b/>
      <w:bCs/>
      <w:kern w:val="2"/>
      <w:sz w:val="32"/>
      <w:szCs w:val="32"/>
      <w:lang w:val="en-US" w:eastAsia="zh-CN" w:bidi="ar-SA"/>
    </w:rPr>
  </w:style>
  <w:style w:type="character" w:customStyle="1" w:styleId="164">
    <w:name w:val="buvis"/>
    <w:autoRedefine/>
    <w:qFormat/>
    <w:uiPriority w:val="0"/>
    <w:rPr>
      <w:color w:val="999999"/>
    </w:rPr>
  </w:style>
  <w:style w:type="character" w:customStyle="1" w:styleId="165">
    <w:name w:val="name"/>
    <w:autoRedefine/>
    <w:qFormat/>
    <w:uiPriority w:val="0"/>
    <w:rPr>
      <w:color w:val="444444"/>
      <w:sz w:val="21"/>
      <w:szCs w:val="21"/>
    </w:rPr>
  </w:style>
  <w:style w:type="character" w:customStyle="1" w:styleId="166">
    <w:name w:val="layui-this"/>
    <w:autoRedefine/>
    <w:qFormat/>
    <w:uiPriority w:val="0"/>
    <w:rPr>
      <w:bdr w:val="single" w:color="EEEEEE" w:sz="6" w:space="0"/>
      <w:shd w:val="clear" w:color="auto" w:fill="FFFFFF"/>
    </w:rPr>
  </w:style>
  <w:style w:type="character" w:customStyle="1" w:styleId="167">
    <w:name w:val="标题 2 Char1"/>
    <w:autoRedefine/>
    <w:qFormat/>
    <w:uiPriority w:val="0"/>
    <w:rPr>
      <w:rFonts w:ascii="Arial" w:hAnsi="Arial" w:eastAsia="黑体"/>
      <w:b/>
      <w:bCs/>
      <w:kern w:val="2"/>
      <w:sz w:val="32"/>
      <w:szCs w:val="32"/>
      <w:lang w:val="en-US" w:eastAsia="zh-CN" w:bidi="ar-SA"/>
    </w:rPr>
  </w:style>
  <w:style w:type="character" w:customStyle="1" w:styleId="168">
    <w:name w:val="zw"/>
    <w:autoRedefine/>
    <w:qFormat/>
    <w:uiPriority w:val="0"/>
    <w:rPr>
      <w:color w:val="BD1E22"/>
      <w:sz w:val="22"/>
      <w:szCs w:val="22"/>
    </w:rPr>
  </w:style>
  <w:style w:type="character" w:customStyle="1" w:styleId="169">
    <w:name w:val="name1"/>
    <w:autoRedefine/>
    <w:qFormat/>
    <w:uiPriority w:val="0"/>
    <w:rPr>
      <w:color w:val="695435"/>
      <w:sz w:val="24"/>
      <w:szCs w:val="24"/>
    </w:rPr>
  </w:style>
  <w:style w:type="character" w:customStyle="1" w:styleId="170">
    <w:name w:val="num61"/>
    <w:basedOn w:val="48"/>
    <w:autoRedefine/>
    <w:qFormat/>
    <w:uiPriority w:val="0"/>
  </w:style>
  <w:style w:type="character" w:customStyle="1" w:styleId="171">
    <w:name w:val="mesg-myd"/>
    <w:autoRedefine/>
    <w:qFormat/>
    <w:uiPriority w:val="0"/>
    <w:rPr>
      <w:color w:val="EE0000"/>
    </w:rPr>
  </w:style>
  <w:style w:type="character" w:customStyle="1" w:styleId="172">
    <w:name w:val="c2"/>
    <w:basedOn w:val="48"/>
    <w:autoRedefine/>
    <w:qFormat/>
    <w:uiPriority w:val="0"/>
  </w:style>
  <w:style w:type="character" w:customStyle="1" w:styleId="173">
    <w:name w:val="c3"/>
    <w:basedOn w:val="48"/>
    <w:autoRedefine/>
    <w:qFormat/>
    <w:uiPriority w:val="0"/>
  </w:style>
  <w:style w:type="character" w:customStyle="1" w:styleId="174">
    <w:name w:val="over1"/>
    <w:autoRedefine/>
    <w:qFormat/>
    <w:uiPriority w:val="0"/>
    <w:rPr>
      <w:color w:val="B60000"/>
    </w:rPr>
  </w:style>
  <w:style w:type="character" w:customStyle="1" w:styleId="175">
    <w:name w:val="tit13"/>
    <w:autoRedefine/>
    <w:qFormat/>
    <w:uiPriority w:val="0"/>
    <w:rPr>
      <w:color w:val="FFFFFF"/>
    </w:rPr>
  </w:style>
  <w:style w:type="character" w:customStyle="1" w:styleId="176">
    <w:name w:val="Char Char21"/>
    <w:autoRedefine/>
    <w:qFormat/>
    <w:uiPriority w:val="0"/>
    <w:rPr>
      <w:rFonts w:eastAsia="宋体"/>
      <w:kern w:val="2"/>
      <w:sz w:val="21"/>
      <w:szCs w:val="24"/>
      <w:lang w:val="en-US" w:eastAsia="zh-CN" w:bidi="ar-SA"/>
    </w:rPr>
  </w:style>
  <w:style w:type="character" w:customStyle="1" w:styleId="177">
    <w:name w:val="l41"/>
    <w:autoRedefine/>
    <w:qFormat/>
    <w:uiPriority w:val="0"/>
    <w:rPr>
      <w:color w:val="999999"/>
    </w:rPr>
  </w:style>
  <w:style w:type="character" w:customStyle="1" w:styleId="178">
    <w:name w:val="16"/>
    <w:autoRedefine/>
    <w:qFormat/>
    <w:uiPriority w:val="0"/>
    <w:rPr>
      <w:rFonts w:ascii="仿宋_GB2312" w:eastAsia="仿宋_GB2312"/>
      <w:color w:val="auto"/>
      <w:sz w:val="28"/>
      <w:szCs w:val="28"/>
    </w:rPr>
  </w:style>
  <w:style w:type="character" w:customStyle="1" w:styleId="179">
    <w:name w:val="num31"/>
    <w:basedOn w:val="48"/>
    <w:autoRedefine/>
    <w:qFormat/>
    <w:uiPriority w:val="0"/>
  </w:style>
  <w:style w:type="character" w:customStyle="1" w:styleId="180">
    <w:name w:val="starting4"/>
    <w:basedOn w:val="48"/>
    <w:autoRedefine/>
    <w:qFormat/>
    <w:uiPriority w:val="0"/>
  </w:style>
  <w:style w:type="character" w:customStyle="1" w:styleId="181">
    <w:name w:val="bsharetext"/>
    <w:basedOn w:val="48"/>
    <w:autoRedefine/>
    <w:qFormat/>
    <w:uiPriority w:val="0"/>
  </w:style>
  <w:style w:type="character" w:customStyle="1" w:styleId="182">
    <w:name w:val="unit"/>
    <w:autoRedefine/>
    <w:qFormat/>
    <w:uiPriority w:val="0"/>
    <w:rPr>
      <w:color w:val="999999"/>
    </w:rPr>
  </w:style>
  <w:style w:type="character" w:customStyle="1" w:styleId="183">
    <w:name w:val="nostart2"/>
    <w:autoRedefine/>
    <w:qFormat/>
    <w:uiPriority w:val="0"/>
    <w:rPr>
      <w:color w:val="B60000"/>
    </w:rPr>
  </w:style>
  <w:style w:type="character" w:customStyle="1" w:styleId="184">
    <w:name w:val="纯文本 Char"/>
    <w:autoRedefine/>
    <w:qFormat/>
    <w:uiPriority w:val="99"/>
    <w:rPr>
      <w:rFonts w:ascii="Courier New" w:hAnsi="Courier New" w:eastAsia="宋体"/>
      <w:kern w:val="2"/>
      <w:sz w:val="21"/>
      <w:lang w:val="en-US" w:eastAsia="zh-CN" w:bidi="ar-SA"/>
    </w:rPr>
  </w:style>
  <w:style w:type="character" w:customStyle="1" w:styleId="185">
    <w:name w:val="Char Char81"/>
    <w:autoRedefine/>
    <w:qFormat/>
    <w:uiPriority w:val="0"/>
    <w:rPr>
      <w:rFonts w:ascii="Arial" w:hAnsi="Arial" w:eastAsia="黑体"/>
      <w:b/>
      <w:bCs/>
      <w:kern w:val="2"/>
      <w:sz w:val="32"/>
      <w:szCs w:val="32"/>
      <w:lang w:val="en-US" w:eastAsia="zh-CN" w:bidi="ar-SA"/>
    </w:rPr>
  </w:style>
  <w:style w:type="character" w:customStyle="1" w:styleId="186">
    <w:name w:val="starting"/>
    <w:autoRedefine/>
    <w:qFormat/>
    <w:uiPriority w:val="0"/>
    <w:rPr>
      <w:color w:val="339900"/>
    </w:rPr>
  </w:style>
  <w:style w:type="character" w:customStyle="1" w:styleId="187">
    <w:name w:val="nostart1"/>
    <w:autoRedefine/>
    <w:qFormat/>
    <w:uiPriority w:val="0"/>
    <w:rPr>
      <w:color w:val="FF0000"/>
    </w:rPr>
  </w:style>
  <w:style w:type="character" w:customStyle="1" w:styleId="188">
    <w:name w:val="num210"/>
    <w:basedOn w:val="48"/>
    <w:autoRedefine/>
    <w:qFormat/>
    <w:uiPriority w:val="0"/>
  </w:style>
  <w:style w:type="character" w:customStyle="1" w:styleId="189">
    <w:name w:val="buvis1"/>
    <w:autoRedefine/>
    <w:qFormat/>
    <w:uiPriority w:val="0"/>
    <w:rPr>
      <w:color w:val="CC0000"/>
    </w:rPr>
  </w:style>
  <w:style w:type="character" w:customStyle="1" w:styleId="190">
    <w:name w:val="starting3"/>
    <w:basedOn w:val="48"/>
    <w:autoRedefine/>
    <w:qFormat/>
    <w:uiPriority w:val="0"/>
  </w:style>
  <w:style w:type="character" w:customStyle="1" w:styleId="191">
    <w:name w:val="textcontents"/>
    <w:basedOn w:val="48"/>
    <w:autoRedefine/>
    <w:qFormat/>
    <w:uiPriority w:val="0"/>
  </w:style>
  <w:style w:type="character" w:customStyle="1" w:styleId="192">
    <w:name w:val="num41"/>
    <w:basedOn w:val="48"/>
    <w:autoRedefine/>
    <w:qFormat/>
    <w:uiPriority w:val="0"/>
  </w:style>
  <w:style w:type="character" w:customStyle="1" w:styleId="193">
    <w:name w:val="tit9"/>
    <w:autoRedefine/>
    <w:qFormat/>
    <w:uiPriority w:val="0"/>
    <w:rPr>
      <w:color w:val="B60000"/>
      <w:sz w:val="27"/>
      <w:szCs w:val="27"/>
      <w:bdr w:val="single" w:color="DFCEB8" w:sz="6" w:space="0"/>
      <w:shd w:val="clear" w:color="auto" w:fill="FFFFFF"/>
    </w:rPr>
  </w:style>
  <w:style w:type="character" w:customStyle="1" w:styleId="194">
    <w:name w:val="name2"/>
    <w:autoRedefine/>
    <w:qFormat/>
    <w:uiPriority w:val="0"/>
    <w:rPr>
      <w:color w:val="000000"/>
      <w:sz w:val="39"/>
      <w:szCs w:val="39"/>
    </w:rPr>
  </w:style>
  <w:style w:type="character" w:customStyle="1" w:styleId="195">
    <w:name w:val="img_title8"/>
    <w:autoRedefine/>
    <w:qFormat/>
    <w:uiPriority w:val="0"/>
    <w:rPr>
      <w:vanish/>
    </w:rPr>
  </w:style>
  <w:style w:type="character" w:customStyle="1" w:styleId="196">
    <w:name w:val="tit15"/>
    <w:autoRedefine/>
    <w:qFormat/>
    <w:uiPriority w:val="0"/>
    <w:rPr>
      <w:b/>
      <w:color w:val="B60000"/>
    </w:rPr>
  </w:style>
  <w:style w:type="character" w:customStyle="1" w:styleId="197">
    <w:name w:val="img_title9"/>
    <w:autoRedefine/>
    <w:qFormat/>
    <w:uiPriority w:val="0"/>
    <w:rPr>
      <w:vanish/>
    </w:rPr>
  </w:style>
  <w:style w:type="character" w:customStyle="1" w:styleId="198">
    <w:name w:val="标题 2 Char2"/>
    <w:link w:val="7"/>
    <w:autoRedefine/>
    <w:qFormat/>
    <w:uiPriority w:val="0"/>
    <w:rPr>
      <w:rFonts w:ascii="Arial" w:hAnsi="Arial" w:eastAsia="黑体"/>
      <w:b/>
      <w:bCs/>
      <w:kern w:val="2"/>
      <w:sz w:val="21"/>
      <w:szCs w:val="32"/>
      <w:lang w:val="en-US" w:eastAsia="zh-CN" w:bidi="ar-SA"/>
    </w:rPr>
  </w:style>
  <w:style w:type="paragraph" w:customStyle="1" w:styleId="199">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8"/>
    <w:autoRedefine/>
    <w:qFormat/>
    <w:uiPriority w:val="0"/>
    <w:rPr>
      <w:rFonts w:hint="eastAsia" w:ascii="仿宋" w:hAnsi="仿宋" w:eastAsia="仿宋" w:cs="仿宋"/>
      <w:b/>
      <w:color w:val="000000"/>
      <w:sz w:val="32"/>
      <w:szCs w:val="32"/>
      <w:u w:val="none"/>
    </w:rPr>
  </w:style>
  <w:style w:type="character" w:customStyle="1" w:styleId="201">
    <w:name w:val="font101"/>
    <w:basedOn w:val="48"/>
    <w:autoRedefine/>
    <w:qFormat/>
    <w:uiPriority w:val="0"/>
    <w:rPr>
      <w:rFonts w:hint="default" w:ascii="Times New Roman" w:hAnsi="Times New Roman" w:cs="Times New Roman"/>
      <w:color w:val="000000"/>
      <w:sz w:val="24"/>
      <w:szCs w:val="24"/>
      <w:u w:val="none"/>
    </w:rPr>
  </w:style>
  <w:style w:type="character" w:customStyle="1" w:styleId="202">
    <w:name w:val="font111"/>
    <w:basedOn w:val="48"/>
    <w:autoRedefine/>
    <w:qFormat/>
    <w:uiPriority w:val="0"/>
    <w:rPr>
      <w:rFonts w:ascii="仿宋_GB2312" w:eastAsia="仿宋_GB2312" w:cs="仿宋_GB2312"/>
      <w:color w:val="000000"/>
      <w:sz w:val="24"/>
      <w:szCs w:val="24"/>
      <w:u w:val="none"/>
    </w:rPr>
  </w:style>
  <w:style w:type="character" w:customStyle="1" w:styleId="203">
    <w:name w:val="font91"/>
    <w:basedOn w:val="48"/>
    <w:autoRedefine/>
    <w:qFormat/>
    <w:uiPriority w:val="0"/>
    <w:rPr>
      <w:rFonts w:hint="eastAsia" w:ascii="仿宋" w:hAnsi="仿宋" w:eastAsia="仿宋" w:cs="仿宋"/>
      <w:color w:val="000000"/>
      <w:sz w:val="24"/>
      <w:szCs w:val="24"/>
      <w:u w:val="single"/>
    </w:rPr>
  </w:style>
  <w:style w:type="character" w:customStyle="1" w:styleId="204">
    <w:name w:val="font81"/>
    <w:basedOn w:val="48"/>
    <w:autoRedefine/>
    <w:qFormat/>
    <w:uiPriority w:val="0"/>
    <w:rPr>
      <w:rFonts w:hint="default" w:ascii="Times New Roman" w:hAnsi="Times New Roman" w:cs="Times New Roman"/>
      <w:color w:val="000000"/>
      <w:sz w:val="24"/>
      <w:szCs w:val="24"/>
      <w:u w:val="none"/>
    </w:rPr>
  </w:style>
  <w:style w:type="character" w:customStyle="1" w:styleId="205">
    <w:name w:val="font61"/>
    <w:basedOn w:val="48"/>
    <w:autoRedefine/>
    <w:qFormat/>
    <w:uiPriority w:val="0"/>
    <w:rPr>
      <w:rFonts w:hint="eastAsia" w:ascii="仿宋_GB2312" w:eastAsia="仿宋_GB2312" w:cs="仿宋_GB2312"/>
      <w:color w:val="000000"/>
      <w:sz w:val="24"/>
      <w:szCs w:val="24"/>
      <w:u w:val="none"/>
    </w:rPr>
  </w:style>
  <w:style w:type="character" w:customStyle="1" w:styleId="206">
    <w:name w:val="font21"/>
    <w:basedOn w:val="48"/>
    <w:autoRedefine/>
    <w:qFormat/>
    <w:uiPriority w:val="0"/>
    <w:rPr>
      <w:rFonts w:hint="default" w:ascii="Times New Roman" w:hAnsi="Times New Roman" w:cs="Times New Roman"/>
      <w:color w:val="000000"/>
      <w:sz w:val="24"/>
      <w:szCs w:val="24"/>
      <w:u w:val="none"/>
    </w:rPr>
  </w:style>
  <w:style w:type="character" w:customStyle="1" w:styleId="207">
    <w:name w:val="NormalCharacter"/>
    <w:autoRedefine/>
    <w:semiHidden/>
    <w:qFormat/>
    <w:uiPriority w:val="0"/>
    <w:rPr>
      <w:snapToGrid w:val="0"/>
      <w:kern w:val="0"/>
      <w:sz w:val="32"/>
      <w:szCs w:val="32"/>
      <w:lang w:val="en-US" w:eastAsia="zh-CN" w:bidi="ar-SA"/>
    </w:rPr>
  </w:style>
  <w:style w:type="character" w:customStyle="1" w:styleId="208">
    <w:name w:val="first-child1"/>
    <w:basedOn w:val="48"/>
    <w:autoRedefine/>
    <w:qFormat/>
    <w:uiPriority w:val="0"/>
  </w:style>
  <w:style w:type="character" w:customStyle="1" w:styleId="209">
    <w:name w:val="hover1"/>
    <w:basedOn w:val="48"/>
    <w:autoRedefine/>
    <w:qFormat/>
    <w:uiPriority w:val="0"/>
    <w:rPr>
      <w:color w:val="2590EB"/>
    </w:rPr>
  </w:style>
  <w:style w:type="character" w:customStyle="1" w:styleId="210">
    <w:name w:val="hover2"/>
    <w:basedOn w:val="48"/>
    <w:autoRedefine/>
    <w:qFormat/>
    <w:uiPriority w:val="0"/>
  </w:style>
  <w:style w:type="character" w:customStyle="1" w:styleId="211">
    <w:name w:val="hover3"/>
    <w:basedOn w:val="48"/>
    <w:autoRedefine/>
    <w:qFormat/>
    <w:uiPriority w:val="0"/>
    <w:rPr>
      <w:color w:val="2590EB"/>
    </w:rPr>
  </w:style>
  <w:style w:type="character" w:customStyle="1" w:styleId="212">
    <w:name w:val="hover4"/>
    <w:basedOn w:val="48"/>
    <w:autoRedefine/>
    <w:qFormat/>
    <w:uiPriority w:val="0"/>
    <w:rPr>
      <w:color w:val="2590EB"/>
      <w:shd w:val="clear" w:fill="E9F4FD"/>
    </w:rPr>
  </w:style>
  <w:style w:type="character" w:customStyle="1" w:styleId="213">
    <w:name w:val="mini-outputtext1"/>
    <w:basedOn w:val="48"/>
    <w:autoRedefine/>
    <w:qFormat/>
    <w:uiPriority w:val="0"/>
  </w:style>
  <w:style w:type="character" w:customStyle="1" w:styleId="214">
    <w:name w:val="hover"/>
    <w:basedOn w:val="48"/>
    <w:autoRedefine/>
    <w:qFormat/>
    <w:uiPriority w:val="0"/>
    <w:rPr>
      <w:color w:val="2590EB"/>
    </w:rPr>
  </w:style>
  <w:style w:type="character" w:customStyle="1" w:styleId="215">
    <w:name w:val="15"/>
    <w:basedOn w:val="48"/>
    <w:qFormat/>
    <w:uiPriority w:val="0"/>
    <w:rPr>
      <w:rFonts w:hint="default" w:ascii="Times New Roman" w:hAnsi="Times New Roman" w:cs="Times New Roman"/>
    </w:rPr>
  </w:style>
  <w:style w:type="character" w:customStyle="1" w:styleId="216">
    <w:name w:val="10"/>
    <w:basedOn w:val="48"/>
    <w:qFormat/>
    <w:uiPriority w:val="0"/>
    <w:rPr>
      <w:rFonts w:hint="default" w:ascii="Times New Roman" w:hAnsi="Times New Roman" w:cs="Times New Roman"/>
    </w:rPr>
  </w:style>
  <w:style w:type="paragraph" w:customStyle="1" w:styleId="217">
    <w:name w:val="l正文"/>
    <w:basedOn w:val="1"/>
    <w:qFormat/>
    <w:uiPriority w:val="0"/>
    <w:pPr>
      <w:keepNext w:val="0"/>
      <w:keepLines w:val="0"/>
      <w:widowControl w:val="0"/>
      <w:suppressLineNumbers w:val="0"/>
      <w:spacing w:before="0" w:beforeAutospacing="0" w:after="0" w:afterAutospacing="0" w:line="300" w:lineRule="auto"/>
      <w:ind w:left="0" w:right="0" w:firstLine="200" w:firstLineChars="200"/>
      <w:jc w:val="both"/>
    </w:pPr>
    <w:rPr>
      <w:rFonts w:hint="eastAsia" w:ascii="楷体_GB2312" w:hAnsi="Times" w:eastAsia="楷体_GB2312" w:cs="Times New Roman"/>
      <w:kern w:val="2"/>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B6A8AB-B2A1-4B55-8D10-16A16BEFEE1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85</Pages>
  <Words>14261</Words>
  <Characters>15635</Characters>
  <Lines>1</Lines>
  <Paragraphs>1</Paragraphs>
  <TotalTime>32</TotalTime>
  <ScaleCrop>false</ScaleCrop>
  <LinksUpToDate>false</LinksUpToDate>
  <CharactersWithSpaces>15847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这不科学</cp:lastModifiedBy>
  <cp:lastPrinted>2023-06-08T00:43:00Z</cp:lastPrinted>
  <dcterms:modified xsi:type="dcterms:W3CDTF">2026-02-13T02:43:11Z</dcterms:modified>
  <dc:title>标准交易文件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3B9C75BDA2FF420B91E1C1DD7F991C2E_13</vt:lpwstr>
  </property>
  <property fmtid="{D5CDD505-2E9C-101B-9397-08002B2CF9AE}" pid="4" name="KSOTemplateDocerSaveRecord">
    <vt:lpwstr>eyJoZGlkIjoiZmI5ZDY5ZDNjMmE2ZDcxYTFkMDY0Zjg5Mjg3YTE0YTgiLCJ1c2VySWQiOiI1MDM3MjkwOTMifQ==</vt:lpwstr>
  </property>
</Properties>
</file>