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F1F308">
      <w:pPr>
        <w:bidi w:val="0"/>
        <w:ind w:left="1919" w:leftChars="914" w:firstLine="0" w:firstLineChars="0"/>
        <w:jc w:val="both"/>
        <w:rPr>
          <w:b/>
          <w:bCs/>
          <w:sz w:val="32"/>
          <w:szCs w:val="32"/>
        </w:rPr>
      </w:pPr>
      <w:r>
        <w:rPr>
          <w:rFonts w:hint="eastAsia"/>
          <w:b/>
          <w:bCs/>
          <w:sz w:val="32"/>
          <w:szCs w:val="32"/>
          <w:lang w:val="en-US" w:eastAsia="zh-CN"/>
        </w:rPr>
        <w:t>野芳园商店结构加固项目清单</w:t>
      </w:r>
      <w:r>
        <w:rPr>
          <w:rFonts w:hint="eastAsia"/>
          <w:b/>
          <w:bCs/>
          <w:sz w:val="32"/>
          <w:szCs w:val="32"/>
        </w:rPr>
        <w:t>说明</w:t>
      </w:r>
    </w:p>
    <w:p w14:paraId="31FEB7FB">
      <w:pPr>
        <w:snapToGrid w:val="0"/>
        <w:spacing w:line="360" w:lineRule="auto"/>
        <w:ind w:firstLine="442" w:firstLineChars="200"/>
        <w:rPr>
          <w:rFonts w:ascii="宋体" w:hAnsi="宋体"/>
          <w:b/>
          <w:sz w:val="22"/>
          <w:szCs w:val="22"/>
        </w:rPr>
      </w:pPr>
    </w:p>
    <w:p w14:paraId="1460C7B1">
      <w:pPr>
        <w:snapToGrid w:val="0"/>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一、工程概况：</w:t>
      </w:r>
    </w:p>
    <w:p w14:paraId="7DBC5013">
      <w:pPr>
        <w:pStyle w:val="6"/>
        <w:keepNext w:val="0"/>
        <w:keepLines w:val="0"/>
        <w:widowControl/>
        <w:suppressLineNumbers w:val="0"/>
        <w:spacing w:before="0" w:beforeAutospacing="0" w:after="0" w:afterAutospacing="0" w:line="360" w:lineRule="auto"/>
        <w:ind w:left="218" w:leftChars="104" w:right="0"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本工程为</w:t>
      </w:r>
      <w:r>
        <w:rPr>
          <w:rFonts w:hint="eastAsia" w:ascii="宋体" w:hAnsi="宋体" w:eastAsia="宋体" w:cs="宋体"/>
          <w:sz w:val="24"/>
          <w:szCs w:val="24"/>
          <w:lang w:val="en-US" w:eastAsia="zh-CN"/>
        </w:rPr>
        <w:t>野芳园商店结构加固项目</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位于滁州市琅琊山景区内。</w:t>
      </w:r>
    </w:p>
    <w:p w14:paraId="0588EFD1">
      <w:pPr>
        <w:numPr>
          <w:ilvl w:val="0"/>
          <w:numId w:val="1"/>
        </w:numPr>
        <w:snapToGrid w:val="0"/>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编制范围：</w:t>
      </w:r>
    </w:p>
    <w:p w14:paraId="73888C1C">
      <w:pPr>
        <w:numPr>
          <w:ilvl w:val="0"/>
          <w:numId w:val="0"/>
        </w:numPr>
        <w:snapToGrid w:val="0"/>
        <w:spacing w:line="360" w:lineRule="auto"/>
        <w:ind w:left="218" w:leftChars="104" w:firstLine="480" w:firstLineChars="200"/>
        <w:rPr>
          <w:rFonts w:hint="eastAsia" w:ascii="宋体" w:hAnsi="宋体" w:eastAsia="宋体" w:cs="宋体"/>
          <w:sz w:val="24"/>
          <w:szCs w:val="24"/>
        </w:rPr>
      </w:pPr>
      <w:r>
        <w:rPr>
          <w:rFonts w:hint="eastAsia" w:ascii="宋体" w:hAnsi="宋体" w:eastAsia="宋体" w:cs="宋体"/>
          <w:sz w:val="24"/>
          <w:szCs w:val="24"/>
        </w:rPr>
        <w:t>主要包括：</w:t>
      </w:r>
      <w:r>
        <w:rPr>
          <w:rFonts w:hint="eastAsia" w:ascii="宋体" w:hAnsi="宋体" w:eastAsia="宋体" w:cs="宋体"/>
          <w:sz w:val="24"/>
          <w:szCs w:val="24"/>
          <w:lang w:val="en-US" w:eastAsia="zh-CN"/>
        </w:rPr>
        <w:t>野芳园商店屋顶瓦、木屋架、防水层等屋面拆除，重新采用钢结构屋架加固、裂缝处理、恢复屋面瓦等项目内容</w:t>
      </w:r>
      <w:r>
        <w:rPr>
          <w:rFonts w:hint="eastAsia" w:ascii="宋体" w:hAnsi="宋体" w:eastAsia="宋体" w:cs="宋体"/>
          <w:sz w:val="24"/>
          <w:szCs w:val="24"/>
        </w:rPr>
        <w:t>。</w:t>
      </w:r>
    </w:p>
    <w:p w14:paraId="1D1FD701">
      <w:pPr>
        <w:numPr>
          <w:ilvl w:val="0"/>
          <w:numId w:val="1"/>
        </w:numPr>
        <w:snapToGrid w:val="0"/>
        <w:spacing w:line="360" w:lineRule="auto"/>
        <w:ind w:left="0" w:leftChars="0" w:firstLine="482" w:firstLineChars="200"/>
        <w:rPr>
          <w:rFonts w:hint="eastAsia" w:ascii="宋体" w:hAnsi="宋体" w:eastAsia="宋体" w:cs="宋体"/>
          <w:b/>
          <w:sz w:val="24"/>
          <w:szCs w:val="24"/>
        </w:rPr>
      </w:pPr>
      <w:r>
        <w:rPr>
          <w:rFonts w:hint="eastAsia" w:ascii="宋体" w:hAnsi="宋体" w:eastAsia="宋体" w:cs="宋体"/>
          <w:b/>
          <w:sz w:val="24"/>
          <w:szCs w:val="24"/>
        </w:rPr>
        <w:t>编制依据：</w:t>
      </w:r>
    </w:p>
    <w:p w14:paraId="2D9F6AA8">
      <w:pPr>
        <w:numPr>
          <w:ilvl w:val="0"/>
          <w:numId w:val="0"/>
        </w:numPr>
        <w:snapToGrid w:val="0"/>
        <w:spacing w:line="360" w:lineRule="auto"/>
        <w:ind w:leftChars="200" w:firstLine="240" w:firstLineChars="100"/>
        <w:rPr>
          <w:rFonts w:hint="eastAsia" w:ascii="宋体" w:hAnsi="宋体" w:eastAsia="宋体" w:cs="宋体"/>
          <w:sz w:val="24"/>
          <w:szCs w:val="24"/>
        </w:rPr>
      </w:pPr>
      <w:r>
        <w:rPr>
          <w:rFonts w:hint="eastAsia" w:ascii="宋体" w:hAnsi="宋体" w:eastAsia="宋体" w:cs="宋体"/>
          <w:sz w:val="24"/>
          <w:szCs w:val="24"/>
        </w:rPr>
        <w:t>1、本项目的招标文件</w:t>
      </w:r>
      <w:r>
        <w:rPr>
          <w:rFonts w:hint="eastAsia" w:ascii="宋体" w:hAnsi="宋体" w:eastAsia="宋体" w:cs="宋体"/>
          <w:sz w:val="24"/>
          <w:szCs w:val="24"/>
          <w:lang w:val="en-US" w:eastAsia="zh-CN"/>
        </w:rPr>
        <w:t>及项目委托合同</w:t>
      </w:r>
      <w:r>
        <w:rPr>
          <w:rFonts w:hint="eastAsia" w:ascii="宋体" w:hAnsi="宋体" w:eastAsia="宋体" w:cs="宋体"/>
          <w:sz w:val="24"/>
          <w:szCs w:val="24"/>
        </w:rPr>
        <w:t>；</w:t>
      </w:r>
    </w:p>
    <w:p w14:paraId="0543BBED">
      <w:pPr>
        <w:snapToGrid w:val="0"/>
        <w:spacing w:line="360" w:lineRule="auto"/>
        <w:ind w:firstLine="720" w:firstLineChars="3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、不可竞争费执行《安徽省住房和城乡建设厅关于调整安徽省建设工程不可竞争费构成及计费标准通知》建标【2021】42号文；</w:t>
      </w:r>
    </w:p>
    <w:p w14:paraId="48634405">
      <w:pPr>
        <w:snapToGrid w:val="0"/>
        <w:spacing w:line="360" w:lineRule="auto"/>
        <w:ind w:firstLine="720" w:firstLineChars="300"/>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、《安徽省建设工程工程量清单计价规范》（DBJ26/T-206-2013）、《安徽省建设工程工程量清单计价办法》；</w:t>
      </w:r>
    </w:p>
    <w:p w14:paraId="5B6712E2">
      <w:pPr>
        <w:snapToGrid w:val="0"/>
        <w:spacing w:line="360" w:lineRule="auto"/>
        <w:ind w:firstLine="720" w:firstLineChars="300"/>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、根据安徽省建设工程造价管理总站造价〔2019〕7号《关于调整我省现行建设工程计价依据增值税税率的通知》，增值税税率为9%；</w:t>
      </w:r>
    </w:p>
    <w:p w14:paraId="64DC20E5">
      <w:pPr>
        <w:snapToGrid w:val="0"/>
        <w:spacing w:line="360" w:lineRule="auto"/>
        <w:ind w:firstLine="720" w:firstLineChars="300"/>
        <w:rPr>
          <w:rFonts w:hint="eastAsia" w:ascii="宋体" w:hAnsi="宋体" w:eastAsia="宋体" w:cs="宋体"/>
          <w:bCs/>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、截止202</w:t>
      </w:r>
      <w:r>
        <w:rPr>
          <w:rFonts w:hint="eastAsia" w:ascii="宋体" w:hAnsi="宋体" w:eastAsia="宋体" w:cs="宋体"/>
          <w:sz w:val="24"/>
          <w:szCs w:val="24"/>
          <w:lang w:val="en-US" w:eastAsia="zh-CN"/>
        </w:rPr>
        <w:t>5</w:t>
      </w:r>
      <w:r>
        <w:rPr>
          <w:rFonts w:hint="eastAsia" w:ascii="宋体" w:hAnsi="宋体" w:eastAsia="宋体" w:cs="宋体"/>
          <w:sz w:val="24"/>
          <w:szCs w:val="24"/>
        </w:rPr>
        <w:t>年</w:t>
      </w:r>
      <w:r>
        <w:rPr>
          <w:rFonts w:hint="eastAsia" w:ascii="宋体" w:hAnsi="宋体" w:eastAsia="宋体" w:cs="宋体"/>
          <w:sz w:val="24"/>
          <w:szCs w:val="24"/>
          <w:lang w:val="en-US" w:eastAsia="zh-CN"/>
        </w:rPr>
        <w:t>10</w:t>
      </w:r>
      <w:r>
        <w:rPr>
          <w:rFonts w:hint="eastAsia" w:ascii="宋体" w:hAnsi="宋体" w:eastAsia="宋体" w:cs="宋体"/>
          <w:sz w:val="24"/>
          <w:szCs w:val="24"/>
        </w:rPr>
        <w:t>月省、市有关政策性调整文件。</w:t>
      </w:r>
    </w:p>
    <w:p w14:paraId="451E530F">
      <w:pPr>
        <w:snapToGrid w:val="0"/>
        <w:spacing w:line="360" w:lineRule="auto"/>
        <w:ind w:firstLine="723" w:firstLineChars="300"/>
        <w:rPr>
          <w:rFonts w:hint="eastAsia" w:ascii="宋体" w:hAnsi="宋体" w:eastAsia="宋体" w:cs="宋体"/>
          <w:b/>
          <w:sz w:val="24"/>
          <w:szCs w:val="24"/>
        </w:rPr>
      </w:pPr>
      <w:r>
        <w:rPr>
          <w:rFonts w:hint="eastAsia" w:ascii="宋体" w:hAnsi="宋体" w:eastAsia="宋体" w:cs="宋体"/>
          <w:b/>
          <w:sz w:val="24"/>
          <w:szCs w:val="24"/>
        </w:rPr>
        <w:t>四、编制方法：</w:t>
      </w:r>
    </w:p>
    <w:p w14:paraId="38620F25">
      <w:pPr>
        <w:spacing w:line="360" w:lineRule="auto"/>
        <w:ind w:firstLine="960" w:firstLineChars="400"/>
        <w:jc w:val="left"/>
        <w:rPr>
          <w:rFonts w:hint="eastAsia" w:ascii="宋体" w:hAnsi="宋体" w:eastAsia="宋体" w:cs="宋体"/>
          <w:sz w:val="24"/>
          <w:szCs w:val="24"/>
        </w:rPr>
      </w:pPr>
      <w:r>
        <w:rPr>
          <w:rFonts w:hint="eastAsia" w:ascii="宋体" w:hAnsi="宋体" w:eastAsia="宋体" w:cs="宋体"/>
          <w:sz w:val="24"/>
          <w:szCs w:val="24"/>
        </w:rPr>
        <w:t>工程量清单计价法（增值税一般计税）</w:t>
      </w:r>
      <w:r>
        <w:rPr>
          <w:rFonts w:hint="eastAsia" w:ascii="宋体" w:hAnsi="宋体" w:eastAsia="宋体" w:cs="宋体"/>
          <w:sz w:val="24"/>
          <w:szCs w:val="24"/>
          <w:lang w:val="en-US" w:eastAsia="zh-CN"/>
        </w:rPr>
        <w:t>动态调整第1期</w:t>
      </w:r>
      <w:r>
        <w:rPr>
          <w:rFonts w:hint="eastAsia" w:ascii="宋体" w:hAnsi="宋体" w:eastAsia="宋体" w:cs="宋体"/>
          <w:sz w:val="24"/>
          <w:szCs w:val="24"/>
        </w:rPr>
        <w:t>。</w:t>
      </w:r>
    </w:p>
    <w:p w14:paraId="024160B7">
      <w:pPr>
        <w:numPr>
          <w:ilvl w:val="0"/>
          <w:numId w:val="0"/>
        </w:numPr>
        <w:spacing w:line="360" w:lineRule="auto"/>
        <w:ind w:leftChars="200" w:firstLine="241" w:firstLineChars="100"/>
        <w:jc w:val="left"/>
        <w:rPr>
          <w:rFonts w:hint="eastAsia" w:ascii="宋体" w:hAnsi="宋体" w:eastAsia="宋体" w:cs="宋体"/>
          <w:b/>
          <w:sz w:val="24"/>
          <w:szCs w:val="24"/>
        </w:rPr>
      </w:pPr>
      <w:r>
        <w:rPr>
          <w:rFonts w:hint="eastAsia" w:ascii="宋体" w:hAnsi="宋体" w:eastAsia="宋体" w:cs="宋体"/>
          <w:b/>
          <w:sz w:val="24"/>
          <w:szCs w:val="24"/>
          <w:lang w:val="en-US" w:eastAsia="zh-CN"/>
        </w:rPr>
        <w:t>五、</w:t>
      </w:r>
      <w:r>
        <w:rPr>
          <w:rFonts w:hint="eastAsia" w:ascii="宋体" w:hAnsi="宋体" w:eastAsia="宋体" w:cs="宋体"/>
          <w:b/>
          <w:sz w:val="24"/>
          <w:szCs w:val="24"/>
        </w:rPr>
        <w:t>编制有关说明：</w:t>
      </w:r>
    </w:p>
    <w:p w14:paraId="2C31E30F">
      <w:pPr>
        <w:numPr>
          <w:ilvl w:val="0"/>
          <w:numId w:val="0"/>
        </w:numPr>
        <w:spacing w:line="360" w:lineRule="auto"/>
        <w:ind w:leftChars="200" w:firstLine="480" w:firstLineChars="200"/>
        <w:jc w:val="left"/>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1、屋面瓦拆除时，尽量保存</w:t>
      </w:r>
      <w:bookmarkStart w:id="0" w:name="_GoBack"/>
      <w:bookmarkEnd w:id="0"/>
      <w:r>
        <w:rPr>
          <w:rFonts w:hint="eastAsia" w:ascii="宋体" w:hAnsi="宋体" w:eastAsia="宋体" w:cs="宋体"/>
          <w:kern w:val="2"/>
          <w:sz w:val="24"/>
          <w:szCs w:val="24"/>
          <w:lang w:val="en-US" w:eastAsia="zh-CN" w:bidi="ar-SA"/>
        </w:rPr>
        <w:t>好，主材能利旧的利旧，施工时有损坏时恢复，按原瓦规格型号颜色恢复</w:t>
      </w:r>
      <w:r>
        <w:rPr>
          <w:rFonts w:hint="eastAsia" w:ascii="宋体" w:hAnsi="宋体" w:eastAsia="宋体" w:cs="宋体"/>
          <w:sz w:val="24"/>
          <w:szCs w:val="24"/>
          <w:lang w:val="en-US" w:eastAsia="zh-CN"/>
        </w:rPr>
        <w:t>，基层全部重新做，利旧的屋面瓦结算时，按实际量扣除主材费用，投标人要勘查现场，自行考虑报价；</w:t>
      </w:r>
    </w:p>
    <w:p w14:paraId="484D89C4">
      <w:pPr>
        <w:numPr>
          <w:ilvl w:val="0"/>
          <w:numId w:val="0"/>
        </w:numPr>
        <w:spacing w:line="360" w:lineRule="auto"/>
        <w:ind w:leftChars="200"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2、本工程不计取赶工措施费及非夜间施工增加费；</w:t>
      </w:r>
    </w:p>
    <w:p w14:paraId="0FED6E9A">
      <w:pPr>
        <w:numPr>
          <w:ilvl w:val="0"/>
          <w:numId w:val="0"/>
        </w:numPr>
        <w:spacing w:line="360" w:lineRule="auto"/>
        <w:ind w:leftChars="200" w:firstLine="480" w:firstLineChars="200"/>
        <w:jc w:val="left"/>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3、机械进退场以项发清单，不仅限于起重机吊装机械等所有工程机械进退场均综合考虑报价，结算不予调整</w:t>
      </w:r>
      <w:r>
        <w:rPr>
          <w:rFonts w:hint="eastAsia" w:ascii="宋体" w:hAnsi="宋体" w:eastAsia="宋体" w:cs="宋体"/>
          <w:sz w:val="24"/>
          <w:szCs w:val="24"/>
          <w:lang w:val="en-US" w:eastAsia="zh-CN"/>
        </w:rPr>
        <w:t>；</w:t>
      </w:r>
    </w:p>
    <w:p w14:paraId="17873F12">
      <w:pPr>
        <w:numPr>
          <w:ilvl w:val="0"/>
          <w:numId w:val="0"/>
        </w:numPr>
        <w:spacing w:line="360" w:lineRule="auto"/>
        <w:ind w:leftChars="200"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4、所有项目清单综合单价均含有人工费、材料费、机械费、管理费、利润；材料二次倒运费</w:t>
      </w:r>
      <w:r>
        <w:rPr>
          <w:rFonts w:hint="eastAsia" w:ascii="宋体" w:hAnsi="宋体" w:eastAsia="宋体" w:cs="宋体"/>
          <w:sz w:val="24"/>
          <w:szCs w:val="24"/>
        </w:rPr>
        <w:t>均</w:t>
      </w:r>
      <w:r>
        <w:rPr>
          <w:rFonts w:hint="eastAsia" w:ascii="宋体" w:hAnsi="宋体" w:eastAsia="宋体" w:cs="宋体"/>
          <w:sz w:val="24"/>
          <w:szCs w:val="24"/>
          <w:lang w:val="en-US" w:eastAsia="zh-CN"/>
        </w:rPr>
        <w:t>含在各综合单价内</w:t>
      </w:r>
      <w:r>
        <w:rPr>
          <w:rFonts w:hint="eastAsia" w:ascii="宋体" w:hAnsi="宋体" w:eastAsia="宋体" w:cs="宋体"/>
          <w:sz w:val="24"/>
          <w:szCs w:val="24"/>
        </w:rPr>
        <w:t>一次性包死，</w:t>
      </w:r>
      <w:r>
        <w:rPr>
          <w:rFonts w:hint="eastAsia" w:ascii="宋体" w:hAnsi="宋体" w:eastAsia="宋体" w:cs="宋体"/>
          <w:sz w:val="24"/>
          <w:szCs w:val="24"/>
          <w:lang w:val="en-US" w:eastAsia="zh-CN"/>
        </w:rPr>
        <w:t>投标单位报价要充分考虑，</w:t>
      </w:r>
      <w:r>
        <w:rPr>
          <w:rFonts w:hint="eastAsia" w:ascii="宋体" w:hAnsi="宋体" w:eastAsia="宋体" w:cs="宋体"/>
          <w:sz w:val="24"/>
          <w:szCs w:val="24"/>
        </w:rPr>
        <w:t>结算时</w:t>
      </w:r>
      <w:r>
        <w:rPr>
          <w:rFonts w:hint="eastAsia" w:ascii="宋体" w:hAnsi="宋体" w:eastAsia="宋体" w:cs="宋体"/>
          <w:sz w:val="24"/>
          <w:szCs w:val="24"/>
          <w:lang w:val="en-US" w:eastAsia="zh-CN"/>
        </w:rPr>
        <w:t>不予</w:t>
      </w:r>
      <w:r>
        <w:rPr>
          <w:rFonts w:hint="eastAsia" w:ascii="宋体" w:hAnsi="宋体" w:eastAsia="宋体" w:cs="宋体"/>
          <w:sz w:val="24"/>
          <w:szCs w:val="24"/>
        </w:rPr>
        <w:t>调整</w:t>
      </w:r>
      <w:r>
        <w:rPr>
          <w:rFonts w:hint="eastAsia" w:ascii="宋体" w:hAnsi="宋体" w:eastAsia="宋体" w:cs="宋体"/>
          <w:sz w:val="24"/>
          <w:szCs w:val="24"/>
          <w:lang w:val="en-US" w:eastAsia="zh-CN"/>
        </w:rPr>
        <w:t>。</w:t>
      </w:r>
    </w:p>
    <w:p w14:paraId="29A38CC4">
      <w:pPr>
        <w:pStyle w:val="9"/>
        <w:spacing w:line="360" w:lineRule="auto"/>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p>
    <w:p w14:paraId="415E6144">
      <w:pPr>
        <w:pStyle w:val="9"/>
        <w:spacing w:line="240" w:lineRule="auto"/>
        <w:ind w:firstLine="0" w:firstLineChars="0"/>
        <w:jc w:val="righ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p>
    <w:sectPr>
      <w:pgSz w:w="11906" w:h="16838"/>
      <w:pgMar w:top="1383" w:right="1519" w:bottom="1383" w:left="151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E4D3B8"/>
    <w:multiLevelType w:val="singleLevel"/>
    <w:tmpl w:val="2DE4D3B8"/>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Q0Njc5OGY0MTgwODE1OWExMTdkZTFkNGFmN2Q2ODYifQ=="/>
    <w:docVar w:name="KSO_WPS_MARK_KEY" w:val="d75f156f-38ca-4994-b617-15e5eed74358"/>
  </w:docVars>
  <w:rsids>
    <w:rsidRoot w:val="1C2B6FAE"/>
    <w:rsid w:val="000335E5"/>
    <w:rsid w:val="00321CF0"/>
    <w:rsid w:val="003601B5"/>
    <w:rsid w:val="003B06FC"/>
    <w:rsid w:val="00546699"/>
    <w:rsid w:val="00592D67"/>
    <w:rsid w:val="00601403"/>
    <w:rsid w:val="006B5C17"/>
    <w:rsid w:val="00723168"/>
    <w:rsid w:val="009526AA"/>
    <w:rsid w:val="00A3073F"/>
    <w:rsid w:val="00A46E53"/>
    <w:rsid w:val="00B12CDD"/>
    <w:rsid w:val="00BF4E05"/>
    <w:rsid w:val="00C102F4"/>
    <w:rsid w:val="00CF4C7A"/>
    <w:rsid w:val="00E12DD0"/>
    <w:rsid w:val="00F74A57"/>
    <w:rsid w:val="0148356B"/>
    <w:rsid w:val="01E37E5F"/>
    <w:rsid w:val="04131ED2"/>
    <w:rsid w:val="04575F38"/>
    <w:rsid w:val="04D6137F"/>
    <w:rsid w:val="054D54EF"/>
    <w:rsid w:val="06B86A37"/>
    <w:rsid w:val="073F4EB6"/>
    <w:rsid w:val="075F6EB2"/>
    <w:rsid w:val="080B7A27"/>
    <w:rsid w:val="08A36C24"/>
    <w:rsid w:val="093904B4"/>
    <w:rsid w:val="093C74AB"/>
    <w:rsid w:val="0B24626A"/>
    <w:rsid w:val="0CA37841"/>
    <w:rsid w:val="0CDB399A"/>
    <w:rsid w:val="0D5F7C0C"/>
    <w:rsid w:val="0D714979"/>
    <w:rsid w:val="0F680FB4"/>
    <w:rsid w:val="0F696162"/>
    <w:rsid w:val="0FCB2F92"/>
    <w:rsid w:val="10CF0774"/>
    <w:rsid w:val="10D4446D"/>
    <w:rsid w:val="10D574DB"/>
    <w:rsid w:val="11475555"/>
    <w:rsid w:val="115E33CE"/>
    <w:rsid w:val="12D22D54"/>
    <w:rsid w:val="13D32297"/>
    <w:rsid w:val="148F7029"/>
    <w:rsid w:val="14E8498B"/>
    <w:rsid w:val="15593193"/>
    <w:rsid w:val="169A13E1"/>
    <w:rsid w:val="170855F8"/>
    <w:rsid w:val="18D414D2"/>
    <w:rsid w:val="193E7E8C"/>
    <w:rsid w:val="1A22687C"/>
    <w:rsid w:val="1BDC144C"/>
    <w:rsid w:val="1BF07630"/>
    <w:rsid w:val="1C2B6FAE"/>
    <w:rsid w:val="1C8F7618"/>
    <w:rsid w:val="1FE56859"/>
    <w:rsid w:val="20411EB6"/>
    <w:rsid w:val="20566C4C"/>
    <w:rsid w:val="20DA1778"/>
    <w:rsid w:val="22396826"/>
    <w:rsid w:val="224A1FC5"/>
    <w:rsid w:val="233C3C6C"/>
    <w:rsid w:val="235A71CB"/>
    <w:rsid w:val="23CA3AF4"/>
    <w:rsid w:val="23D20CE0"/>
    <w:rsid w:val="24C603C8"/>
    <w:rsid w:val="252A5A7D"/>
    <w:rsid w:val="25B52667"/>
    <w:rsid w:val="260B6105"/>
    <w:rsid w:val="262D4649"/>
    <w:rsid w:val="26AB1A43"/>
    <w:rsid w:val="26BF074A"/>
    <w:rsid w:val="27E53CDD"/>
    <w:rsid w:val="28BD7C51"/>
    <w:rsid w:val="28D56B7C"/>
    <w:rsid w:val="28F412B7"/>
    <w:rsid w:val="2ABD4ACF"/>
    <w:rsid w:val="2ADA252B"/>
    <w:rsid w:val="2BAF5818"/>
    <w:rsid w:val="2D921C3B"/>
    <w:rsid w:val="2E123925"/>
    <w:rsid w:val="2E3B424F"/>
    <w:rsid w:val="2ECC414F"/>
    <w:rsid w:val="2F4D56BE"/>
    <w:rsid w:val="32322621"/>
    <w:rsid w:val="3235770F"/>
    <w:rsid w:val="338A1331"/>
    <w:rsid w:val="338F084E"/>
    <w:rsid w:val="34056893"/>
    <w:rsid w:val="352E1AEE"/>
    <w:rsid w:val="354D65C6"/>
    <w:rsid w:val="366071F9"/>
    <w:rsid w:val="36A007CA"/>
    <w:rsid w:val="38DE2971"/>
    <w:rsid w:val="393142DE"/>
    <w:rsid w:val="3986543D"/>
    <w:rsid w:val="3A405C02"/>
    <w:rsid w:val="3A4D2A17"/>
    <w:rsid w:val="3AEF2CC1"/>
    <w:rsid w:val="3B4268D5"/>
    <w:rsid w:val="3B6B2F5C"/>
    <w:rsid w:val="3DA65304"/>
    <w:rsid w:val="3E474C77"/>
    <w:rsid w:val="3EB906D7"/>
    <w:rsid w:val="3F126122"/>
    <w:rsid w:val="3F59655C"/>
    <w:rsid w:val="40036482"/>
    <w:rsid w:val="40807FCF"/>
    <w:rsid w:val="40AF7D4B"/>
    <w:rsid w:val="41225D8B"/>
    <w:rsid w:val="413A45AB"/>
    <w:rsid w:val="41DA1BA6"/>
    <w:rsid w:val="430D0CC0"/>
    <w:rsid w:val="438B2093"/>
    <w:rsid w:val="44F00088"/>
    <w:rsid w:val="454342E6"/>
    <w:rsid w:val="45B7168C"/>
    <w:rsid w:val="47F24BFD"/>
    <w:rsid w:val="496438D9"/>
    <w:rsid w:val="4A634417"/>
    <w:rsid w:val="4AB2452E"/>
    <w:rsid w:val="4AB41401"/>
    <w:rsid w:val="4AE6444A"/>
    <w:rsid w:val="4B0C4228"/>
    <w:rsid w:val="4BC62629"/>
    <w:rsid w:val="4C483847"/>
    <w:rsid w:val="4E3E0B9C"/>
    <w:rsid w:val="4E467799"/>
    <w:rsid w:val="4EEB6CD2"/>
    <w:rsid w:val="4F223031"/>
    <w:rsid w:val="4F767B01"/>
    <w:rsid w:val="4FBC3B8C"/>
    <w:rsid w:val="50551D9E"/>
    <w:rsid w:val="5080549C"/>
    <w:rsid w:val="50CC2D83"/>
    <w:rsid w:val="51226632"/>
    <w:rsid w:val="516B1A79"/>
    <w:rsid w:val="526D2519"/>
    <w:rsid w:val="52B0193D"/>
    <w:rsid w:val="531C22CA"/>
    <w:rsid w:val="53E2021C"/>
    <w:rsid w:val="55690BF5"/>
    <w:rsid w:val="561A21BD"/>
    <w:rsid w:val="56FA22AC"/>
    <w:rsid w:val="57786889"/>
    <w:rsid w:val="57BE6E91"/>
    <w:rsid w:val="57D2221E"/>
    <w:rsid w:val="58040325"/>
    <w:rsid w:val="582E1252"/>
    <w:rsid w:val="584B1044"/>
    <w:rsid w:val="59155B71"/>
    <w:rsid w:val="592D3965"/>
    <w:rsid w:val="5A6330F1"/>
    <w:rsid w:val="5C950D30"/>
    <w:rsid w:val="5D6C036B"/>
    <w:rsid w:val="5EB153BA"/>
    <w:rsid w:val="5F2142EE"/>
    <w:rsid w:val="5F44309B"/>
    <w:rsid w:val="5F4E73D5"/>
    <w:rsid w:val="5FF76DFD"/>
    <w:rsid w:val="60EF02B7"/>
    <w:rsid w:val="61756458"/>
    <w:rsid w:val="61EA6D97"/>
    <w:rsid w:val="628206C2"/>
    <w:rsid w:val="635459E7"/>
    <w:rsid w:val="637707DC"/>
    <w:rsid w:val="63A00324"/>
    <w:rsid w:val="64896CE3"/>
    <w:rsid w:val="64F31483"/>
    <w:rsid w:val="65B8190F"/>
    <w:rsid w:val="6687333F"/>
    <w:rsid w:val="66876248"/>
    <w:rsid w:val="66B5736C"/>
    <w:rsid w:val="677504ED"/>
    <w:rsid w:val="6849388F"/>
    <w:rsid w:val="684E01B1"/>
    <w:rsid w:val="69456E2B"/>
    <w:rsid w:val="69583C09"/>
    <w:rsid w:val="698C7E4B"/>
    <w:rsid w:val="69E20C71"/>
    <w:rsid w:val="6A631E13"/>
    <w:rsid w:val="6A9A3695"/>
    <w:rsid w:val="6AB94747"/>
    <w:rsid w:val="6B2D7B77"/>
    <w:rsid w:val="6B3934C7"/>
    <w:rsid w:val="6CA26529"/>
    <w:rsid w:val="6CF070AE"/>
    <w:rsid w:val="6D2334B1"/>
    <w:rsid w:val="6DBE2173"/>
    <w:rsid w:val="6DE54739"/>
    <w:rsid w:val="6E807139"/>
    <w:rsid w:val="6E9B0A68"/>
    <w:rsid w:val="6EDF0AB8"/>
    <w:rsid w:val="6F1F7391"/>
    <w:rsid w:val="6FF1412A"/>
    <w:rsid w:val="71305719"/>
    <w:rsid w:val="725C7810"/>
    <w:rsid w:val="74A37E7A"/>
    <w:rsid w:val="74E6365D"/>
    <w:rsid w:val="75412314"/>
    <w:rsid w:val="75D56B0D"/>
    <w:rsid w:val="75F47506"/>
    <w:rsid w:val="770A0F59"/>
    <w:rsid w:val="77456F99"/>
    <w:rsid w:val="77C65741"/>
    <w:rsid w:val="791A388B"/>
    <w:rsid w:val="79EA56DC"/>
    <w:rsid w:val="7AA80FC8"/>
    <w:rsid w:val="7AB33FB7"/>
    <w:rsid w:val="7AE069B4"/>
    <w:rsid w:val="7AF5534C"/>
    <w:rsid w:val="7BFB4504"/>
    <w:rsid w:val="7E6E2528"/>
    <w:rsid w:val="7E6E42D6"/>
    <w:rsid w:val="7FE479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pPr>
      <w:ind w:left="160"/>
    </w:pPr>
    <w:rPr>
      <w:sz w:val="24"/>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paragraph" w:styleId="9">
    <w:name w:val="List Paragraph"/>
    <w:basedOn w:val="1"/>
    <w:qFormat/>
    <w:uiPriority w:val="34"/>
    <w:pPr>
      <w:ind w:firstLine="420" w:firstLineChars="200"/>
    </w:pPr>
  </w:style>
  <w:style w:type="character" w:customStyle="1" w:styleId="10">
    <w:name w:val="页眉 字符"/>
    <w:basedOn w:val="8"/>
    <w:link w:val="5"/>
    <w:qFormat/>
    <w:uiPriority w:val="0"/>
    <w:rPr>
      <w:rFonts w:asciiTheme="minorHAnsi" w:hAnsiTheme="minorHAnsi" w:eastAsiaTheme="minorEastAsia" w:cstheme="minorBidi"/>
      <w:kern w:val="2"/>
      <w:sz w:val="18"/>
      <w:szCs w:val="18"/>
    </w:rPr>
  </w:style>
  <w:style w:type="character" w:customStyle="1" w:styleId="11">
    <w:name w:val="页脚 字符"/>
    <w:basedOn w:val="8"/>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559</Words>
  <Characters>585</Characters>
  <Lines>23</Lines>
  <Paragraphs>6</Paragraphs>
  <TotalTime>0</TotalTime>
  <ScaleCrop>false</ScaleCrop>
  <LinksUpToDate>false</LinksUpToDate>
  <CharactersWithSpaces>620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2023-03-22T22:59:00Z</dcterms:created>
  <dc:creator>，</dc:creator>
  <cp:lastModifiedBy>水晶之恋</cp:lastModifiedBy>
  <dcterms:modified xsi:type="dcterms:W3CDTF">2025-10-17T01:49:35Z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62016F997DAE42BA9856E36819E3CBB4_13</vt:lpwstr>
  </property>
  <property fmtid="{D5CDD505-2E9C-101B-9397-08002B2CF9AE}" pid="4" name="KSOTemplateDocerSaveRecord">
    <vt:lpwstr>eyJoZGlkIjoiNmQzYzYyODUwNGNlNTc3MmIwZTkzMjMwOTI4MjZmNmYiLCJ1c2VySWQiOiI1MDExMjM1NDkifQ==</vt:lpwstr>
  </property>
</Properties>
</file>